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010B" w14:textId="77777777" w:rsidR="009F0437" w:rsidRDefault="009F0437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sz w:val="24"/>
        </w:rPr>
        <w:t>ZAPYTANIE OFERTOWE nr 16/FENG/2026</w:t>
      </w:r>
    </w:p>
    <w:p w14:paraId="1383EE72" w14:textId="77777777" w:rsidR="009F0437" w:rsidRDefault="009F0437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 dnia 11.06.2026 r.</w:t>
      </w:r>
    </w:p>
    <w:p w14:paraId="475F5106" w14:textId="77777777" w:rsidR="009F0437" w:rsidRDefault="009F0437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14:paraId="2EB42334" w14:textId="77777777" w:rsidR="009F0437" w:rsidRDefault="009F0437">
      <w:pPr>
        <w:spacing w:after="0" w:line="24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/>
        </w:rPr>
        <w:t xml:space="preserve">W związku z realizacją przez Zamawiającego projektów współfinansowanych </w:t>
      </w:r>
      <w:r>
        <w:rPr>
          <w:rFonts w:cs="Calibri"/>
          <w:color w:val="000000"/>
        </w:rPr>
        <w:t xml:space="preserve">przez Unię Europejską ze środków Europejskiego Funduszu Rozwoju Regionalnego w ramach Programu Fundusze Europejskie dla Nowoczesnej Gospodarki </w:t>
      </w:r>
      <w:r>
        <w:rPr>
          <w:rFonts w:cs="Calibri"/>
        </w:rPr>
        <w:t xml:space="preserve">2021–2027, </w:t>
      </w:r>
      <w:r>
        <w:rPr>
          <w:rFonts w:eastAsia="Times New Roman"/>
        </w:rPr>
        <w:t xml:space="preserve">zapraszamy wszystkie podmioty spełniające określone poniżej warunki do złożenia oferty w postępowaniu </w:t>
      </w:r>
      <w:r>
        <w:rPr>
          <w:rFonts w:eastAsia="Times New Roman"/>
          <w:b/>
          <w:bCs/>
        </w:rPr>
        <w:t>na organizację konferencji naukowej dla Fundacji na rzecz Nauki Polskiej (FNP).</w:t>
      </w:r>
    </w:p>
    <w:p w14:paraId="4FB75B6E" w14:textId="77777777" w:rsidR="009F0437" w:rsidRDefault="009F0437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483B671F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Zamawiający</w:t>
      </w:r>
      <w:r>
        <w:rPr>
          <w:rFonts w:eastAsia="Times New Roman" w:cs="Times New Roman"/>
          <w:bCs/>
        </w:rPr>
        <w:t xml:space="preserve">: </w:t>
      </w:r>
    </w:p>
    <w:p w14:paraId="29EFFA23" w14:textId="77777777" w:rsidR="009F0437" w:rsidRDefault="009F0437">
      <w:pPr>
        <w:spacing w:after="0" w:line="240" w:lineRule="auto"/>
        <w:ind w:firstLine="426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Fundacja na rzecz Nauki Polskiej</w:t>
      </w:r>
    </w:p>
    <w:p w14:paraId="765BDD70" w14:textId="77777777" w:rsidR="009F0437" w:rsidRDefault="009F0437">
      <w:pPr>
        <w:spacing w:after="0" w:line="240" w:lineRule="auto"/>
        <w:ind w:firstLine="426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ul. I. Krasickiego 20/22</w:t>
      </w:r>
    </w:p>
    <w:p w14:paraId="3D4B11E4" w14:textId="77777777" w:rsidR="009F0437" w:rsidRDefault="009F0437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eastAsia="Times New Roman" w:cs="Times New Roman"/>
          <w:bCs/>
        </w:rPr>
        <w:t>02-611 Warszawa</w:t>
      </w:r>
    </w:p>
    <w:p w14:paraId="03FA2994" w14:textId="77777777" w:rsidR="009F0437" w:rsidRDefault="009F0437">
      <w:pPr>
        <w:spacing w:after="0" w:line="240" w:lineRule="auto"/>
        <w:ind w:firstLine="426"/>
        <w:jc w:val="both"/>
      </w:pPr>
      <w:r>
        <w:rPr>
          <w:rFonts w:cs="Times New Roman"/>
        </w:rPr>
        <w:t>tel. +48 (22) 845 95 00</w:t>
      </w:r>
    </w:p>
    <w:p w14:paraId="2F19CCC3" w14:textId="77777777" w:rsidR="009F0437" w:rsidRDefault="009F0437">
      <w:pPr>
        <w:spacing w:after="0" w:line="240" w:lineRule="auto"/>
        <w:ind w:firstLine="426"/>
        <w:jc w:val="both"/>
        <w:rPr>
          <w:rFonts w:eastAsia="Times New Roman" w:cs="Times New Roman"/>
          <w:bCs/>
        </w:rPr>
      </w:pPr>
      <w:hyperlink r:id="rId7" w:history="1">
        <w:r>
          <w:rPr>
            <w:rStyle w:val="ListLabel344"/>
          </w:rPr>
          <w:t>www.fnp.org.pl</w:t>
        </w:r>
      </w:hyperlink>
      <w:r>
        <w:rPr>
          <w:rFonts w:eastAsia="Times New Roman" w:cs="Times New Roman"/>
          <w:bCs/>
          <w:u w:val="single"/>
        </w:rPr>
        <w:t xml:space="preserve"> </w:t>
      </w:r>
    </w:p>
    <w:p w14:paraId="0BD11EF3" w14:textId="77777777" w:rsidR="009F0437" w:rsidRDefault="009F0437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09CF60A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eastAsia="Times New Roman" w:cs="Times New Roman"/>
          <w:b/>
          <w:bCs/>
        </w:rPr>
        <w:t>Wprowadzenie:</w:t>
      </w:r>
    </w:p>
    <w:p w14:paraId="5097CC73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eastAsia="Times New Roman" w:cs="Calibri"/>
          <w:bCs/>
        </w:rPr>
      </w:pPr>
      <w:r>
        <w:rPr>
          <w:rFonts w:cs="Calibri"/>
        </w:rPr>
        <w:t>Niniejsze postępowanie prowadzone jest zgodnie z zasadą konkurencyjności określoną w Wytycznych dotyczących kwalifikowalności wydatków na lata 2021-2027 z dnia 14 marca 2025 r. (MFiPR/2021-2027/9(2)) z późn. zm. (dalej: „Wytyczne”) oraz zgodnie z Regulaminem udzielania zamówień przez Fundację na rzecz Nauki Polskiej (FNP) finansowanych lub współfinansowanych ze środków Europejskiego Funduszu Rozwoju Regionalnego (EFRR) oraz ze środków Mechanizmu Finansowego EOG 2014-2021 i Norweskiego Mechanizmu Finansoweg</w:t>
      </w:r>
      <w:r>
        <w:rPr>
          <w:rFonts w:cs="Calibri"/>
        </w:rPr>
        <w:t>o 2014-2021 i wymaganiami określonymi w niniejszym Zapytaniu ofertowym.</w:t>
      </w:r>
    </w:p>
    <w:p w14:paraId="6A8B4A7E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cs="Calibri"/>
        </w:rPr>
      </w:pPr>
      <w:r>
        <w:rPr>
          <w:rFonts w:eastAsia="Times New Roman" w:cs="Calibri"/>
          <w:bCs/>
        </w:rPr>
        <w:t>Do przeprowadzenia niniejszego postępowania nie stosuje się Ustawy z dnia 11 września 2019 r. Prawo zamówień publicznych (t.j.: Dz.U. z 2024 r. poz. 1320 z późn. zm.).</w:t>
      </w:r>
    </w:p>
    <w:p w14:paraId="7CB5A121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eastAsia="Times New Roman"/>
        </w:rPr>
      </w:pPr>
      <w:r>
        <w:rPr>
          <w:rFonts w:cs="Calibri"/>
        </w:rPr>
        <w:t>Postępowanie prowadzone jest w języku polskim. Dokumenty sporządzone w języku obcym są składane wraz z tłumaczeniem na język polski.</w:t>
      </w:r>
    </w:p>
    <w:p w14:paraId="5EF37BA1" w14:textId="77777777" w:rsidR="009F0437" w:rsidRDefault="009F0437">
      <w:pPr>
        <w:numPr>
          <w:ilvl w:val="1"/>
          <w:numId w:val="4"/>
        </w:numPr>
        <w:spacing w:after="0" w:line="240" w:lineRule="atLeast"/>
        <w:ind w:left="709" w:hanging="283"/>
        <w:contextualSpacing/>
        <w:jc w:val="both"/>
        <w:rPr>
          <w:rFonts w:cs="Calibri"/>
        </w:rPr>
      </w:pPr>
      <w:r>
        <w:rPr>
          <w:rFonts w:eastAsia="Times New Roman"/>
        </w:rPr>
        <w:t>Rozliczenia między Zamawiającym a Wykonawcą prowadzone będą wyłącznie w walucie polskiej.</w:t>
      </w:r>
    </w:p>
    <w:p w14:paraId="3DDAA714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eastAsia="Times New Roman" w:cs="Calibri"/>
          <w:bCs/>
        </w:rPr>
      </w:pPr>
      <w:r>
        <w:rPr>
          <w:rFonts w:cs="Calibri"/>
        </w:rPr>
        <w:t>Niniejsze Zapytanie ofertowe zostało upublicznione poprzez zamieszczenie w Bazie Konkurencyjności (</w:t>
      </w:r>
      <w:hyperlink r:id="rId8" w:history="1">
        <w:r>
          <w:rPr>
            <w:rStyle w:val="Hipercze"/>
            <w:rFonts w:cs="Calibri"/>
          </w:rPr>
          <w:t>https://bazakonkurencyjnosci.funduszeeuropejskie.gov.pl</w:t>
        </w:r>
      </w:hyperlink>
      <w:r>
        <w:rPr>
          <w:rFonts w:cs="Calibri"/>
        </w:rPr>
        <w:t>) oraz na stronie FNP (</w:t>
      </w:r>
      <w:hyperlink r:id="rId9" w:history="1">
        <w:r>
          <w:rPr>
            <w:rStyle w:val="Hipercze"/>
            <w:rFonts w:cs="Calibri"/>
          </w:rPr>
          <w:t>https://www.fnp.org.pl/component/fnp_pages/page/zamowienia-publiczne</w:t>
        </w:r>
      </w:hyperlink>
      <w:r>
        <w:rPr>
          <w:rFonts w:cs="Calibri"/>
        </w:rPr>
        <w:t>)</w:t>
      </w:r>
    </w:p>
    <w:p w14:paraId="08489112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Zamawiający nie dopuszcza możliwości składania ofert częściowych. </w:t>
      </w:r>
    </w:p>
    <w:p w14:paraId="62F21B1B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eastAsia="Times New Roman"/>
        </w:rPr>
      </w:pPr>
      <w:r>
        <w:rPr>
          <w:rFonts w:eastAsia="Times New Roman" w:cs="Calibri"/>
          <w:bCs/>
        </w:rPr>
        <w:t>Zamawiający nie dopuszcza możliwości składania ofert wariantowych.</w:t>
      </w:r>
    </w:p>
    <w:p w14:paraId="7D06C428" w14:textId="77777777" w:rsidR="009F0437" w:rsidRDefault="009F0437">
      <w:pPr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contextualSpacing/>
        <w:jc w:val="both"/>
        <w:rPr>
          <w:rFonts w:eastAsia="Calibri" w:cs="Calibri"/>
        </w:rPr>
      </w:pPr>
      <w:r>
        <w:rPr>
          <w:rFonts w:eastAsia="Times New Roman"/>
        </w:rPr>
        <w:t xml:space="preserve">Zamawiający nie przewiduje udzielania wybranemu Wykonawcy zamówień na usługi </w:t>
      </w:r>
      <w:r>
        <w:rPr>
          <w:rFonts w:eastAsia="Calibri" w:cs="Calibri"/>
        </w:rPr>
        <w:t>polegających na powtórzeniu podobnych usług.</w:t>
      </w:r>
    </w:p>
    <w:p w14:paraId="07A01B36" w14:textId="77777777" w:rsidR="009F0437" w:rsidRDefault="009F0437">
      <w:pPr>
        <w:shd w:val="clear" w:color="auto" w:fill="FFFFFF"/>
        <w:spacing w:after="0" w:line="240" w:lineRule="atLeast"/>
        <w:ind w:left="709"/>
        <w:contextualSpacing/>
        <w:jc w:val="both"/>
        <w:rPr>
          <w:rFonts w:eastAsia="Calibri" w:cs="Calibri"/>
        </w:rPr>
      </w:pPr>
    </w:p>
    <w:p w14:paraId="244090A7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eastAsia="Times New Roman" w:cs="Times New Roman"/>
          <w:b/>
          <w:bCs/>
        </w:rPr>
        <w:t>Opis przedmiotu zamówienia:</w:t>
      </w:r>
    </w:p>
    <w:p w14:paraId="5BFA2CAF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</w:rPr>
      </w:pPr>
      <w:r>
        <w:rPr>
          <w:rFonts w:cs="Calibri"/>
          <w:color w:val="000000"/>
        </w:rPr>
        <w:t xml:space="preserve">Przedmiotem zamówienia jest organizacja w formule stacjonarnej z transmisją on-line dwudniowej konferencji naukowej w Warszawie z udziałem beneficjentów i grantobiorców działań realizowanych przez Fundację na rzecz Nauki Polskiej ze środków programu Fundusze Europejskie dla Nowoczesnej Gospodarki 2021-2027 (FENG) oraz ekspertów (z Polski i z zagranicy). </w:t>
      </w:r>
    </w:p>
    <w:p w14:paraId="2791237F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b/>
          <w:bCs/>
        </w:rPr>
      </w:pPr>
      <w:r>
        <w:rPr>
          <w:rFonts w:cs="Times New Roman"/>
        </w:rPr>
        <w:t>Szczegółowy opis przedmiotu zamówienia znajduje się w Załączniku nr 2 do Zapytania ofertowego – OPZ</w:t>
      </w:r>
      <w:r>
        <w:t xml:space="preserve"> </w:t>
      </w:r>
      <w:r>
        <w:rPr>
          <w:rFonts w:cs="Times New Roman"/>
        </w:rPr>
        <w:t>oraz w Załączniku nr 3 do Zapytania ofertowego – Projektowane postanowienia umowy (PPU).</w:t>
      </w:r>
    </w:p>
    <w:p w14:paraId="060B8486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b/>
          <w:bCs/>
        </w:rPr>
      </w:pPr>
      <w:r>
        <w:rPr>
          <w:b/>
          <w:bCs/>
        </w:rPr>
        <w:t>Termin realizacji zamówienia: Termin konferencji 19 – 20 października 2026 r.</w:t>
      </w:r>
    </w:p>
    <w:p w14:paraId="02E7C3CD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  <w:b/>
          <w:bCs/>
        </w:rPr>
        <w:t>Polisa OC</w:t>
      </w:r>
      <w:r>
        <w:rPr>
          <w:rFonts w:cs="Times New Roman"/>
        </w:rPr>
        <w:t>:</w:t>
      </w:r>
    </w:p>
    <w:p w14:paraId="104F4F04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Times New Roman"/>
        </w:rPr>
      </w:pPr>
      <w:r>
        <w:rPr>
          <w:rFonts w:cs="Times New Roman"/>
        </w:rPr>
        <w:t xml:space="preserve">Wykonawca zobowiązany jest do posiadania aktualnej i opłaconej polisy ubezpieczeniowej odpowiedzialności cywilnej w zakresie objętym przedmiotem </w:t>
      </w:r>
      <w:r>
        <w:rPr>
          <w:rFonts w:cs="Times New Roman"/>
        </w:rPr>
        <w:lastRenderedPageBreak/>
        <w:t>zamówienia, na sumę ubezpieczenia co najmniej 500 000,00 zł w całym okresie obowiązywania umowy.</w:t>
      </w:r>
    </w:p>
    <w:p w14:paraId="4D970121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Times New Roman"/>
        </w:rPr>
      </w:pPr>
      <w:r>
        <w:rPr>
          <w:rFonts w:cs="Times New Roman"/>
        </w:rPr>
        <w:t>Najpóźniej w terminie zawarcia umowy Wykonawca przekaże Zamawiającemu opłaconą polisę ubezpieczeniową. Kopia polisy ubezpieczeniowej będzie stanowiła załącznik do umowy.</w:t>
      </w:r>
    </w:p>
    <w:p w14:paraId="35133411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Times New Roman"/>
          <w:b/>
          <w:bCs/>
          <w:spacing w:val="-1"/>
          <w:lang w:eastAsia="en-US"/>
        </w:rPr>
      </w:pPr>
      <w:r>
        <w:rPr>
          <w:rFonts w:cs="Times New Roman"/>
        </w:rPr>
        <w:t>Jeżeli polisa ubezpieczeniowa będzie obejmowała okres krótszy niż okres realizacji umowy, Wykonawca na 3 dni przed upływem terminu ważności poprzedniej polisy, zobowiązany jest do zawarcia i przedstawienia Zamawiającemu kolejnej polisy ubezpieczeniowej tak, aby została zachowana ciągłość ubezpieczenia przez cały okres realizacji umowy.</w:t>
      </w:r>
    </w:p>
    <w:p w14:paraId="3CC14B4A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/>
        </w:rPr>
      </w:pPr>
      <w:r>
        <w:rPr>
          <w:rFonts w:cs="Times New Roman"/>
          <w:b/>
          <w:bCs/>
          <w:spacing w:val="-1"/>
          <w:lang w:eastAsia="en-US"/>
        </w:rPr>
        <w:t>W</w:t>
      </w:r>
      <w:r>
        <w:rPr>
          <w:rFonts w:cs="Times New Roman"/>
          <w:b/>
          <w:bCs/>
          <w:spacing w:val="-2"/>
          <w:lang w:eastAsia="en-US"/>
        </w:rPr>
        <w:t>s</w:t>
      </w:r>
      <w:r>
        <w:rPr>
          <w:rFonts w:cs="Times New Roman"/>
          <w:b/>
          <w:bCs/>
          <w:lang w:eastAsia="en-US"/>
        </w:rPr>
        <w:t>p</w:t>
      </w:r>
      <w:r>
        <w:rPr>
          <w:rFonts w:cs="Times New Roman"/>
          <w:b/>
          <w:bCs/>
          <w:spacing w:val="9"/>
          <w:lang w:eastAsia="en-US"/>
        </w:rPr>
        <w:t>ó</w:t>
      </w:r>
      <w:r>
        <w:rPr>
          <w:rFonts w:cs="Times New Roman"/>
          <w:b/>
          <w:bCs/>
          <w:spacing w:val="-4"/>
          <w:lang w:eastAsia="en-US"/>
        </w:rPr>
        <w:t>l</w:t>
      </w:r>
      <w:r>
        <w:rPr>
          <w:rFonts w:cs="Times New Roman"/>
          <w:b/>
          <w:bCs/>
          <w:lang w:eastAsia="en-US"/>
        </w:rPr>
        <w:t>ny</w:t>
      </w:r>
      <w:r>
        <w:rPr>
          <w:rFonts w:cs="Times New Roman"/>
          <w:b/>
          <w:bCs/>
          <w:spacing w:val="-7"/>
          <w:lang w:eastAsia="en-US"/>
        </w:rPr>
        <w:t xml:space="preserve"> </w:t>
      </w:r>
      <w:r>
        <w:rPr>
          <w:rFonts w:cs="Times New Roman"/>
          <w:b/>
          <w:bCs/>
          <w:spacing w:val="6"/>
          <w:lang w:eastAsia="en-US"/>
        </w:rPr>
        <w:t>S</w:t>
      </w:r>
      <w:r>
        <w:rPr>
          <w:rFonts w:cs="Times New Roman"/>
          <w:b/>
          <w:bCs/>
          <w:spacing w:val="-9"/>
          <w:lang w:eastAsia="en-US"/>
        </w:rPr>
        <w:t>ł</w:t>
      </w:r>
      <w:r>
        <w:rPr>
          <w:rFonts w:cs="Times New Roman"/>
          <w:b/>
          <w:bCs/>
          <w:spacing w:val="5"/>
          <w:lang w:eastAsia="en-US"/>
        </w:rPr>
        <w:t>o</w:t>
      </w:r>
      <w:r>
        <w:rPr>
          <w:rFonts w:cs="Times New Roman"/>
          <w:b/>
          <w:bCs/>
          <w:spacing w:val="4"/>
          <w:lang w:eastAsia="en-US"/>
        </w:rPr>
        <w:t>w</w:t>
      </w:r>
      <w:r>
        <w:rPr>
          <w:rFonts w:cs="Times New Roman"/>
          <w:b/>
          <w:bCs/>
          <w:lang w:eastAsia="en-US"/>
        </w:rPr>
        <w:t>n</w:t>
      </w:r>
      <w:r>
        <w:rPr>
          <w:rFonts w:cs="Times New Roman"/>
          <w:b/>
          <w:bCs/>
          <w:spacing w:val="-4"/>
          <w:lang w:eastAsia="en-US"/>
        </w:rPr>
        <w:t>i</w:t>
      </w:r>
      <w:r>
        <w:rPr>
          <w:rFonts w:cs="Times New Roman"/>
          <w:b/>
          <w:bCs/>
          <w:lang w:eastAsia="en-US"/>
        </w:rPr>
        <w:t>k</w:t>
      </w:r>
      <w:r>
        <w:rPr>
          <w:rFonts w:cs="Times New Roman"/>
          <w:b/>
          <w:bCs/>
          <w:spacing w:val="2"/>
          <w:lang w:eastAsia="en-US"/>
        </w:rPr>
        <w:t xml:space="preserve"> </w:t>
      </w:r>
      <w:r>
        <w:rPr>
          <w:rFonts w:cs="Times New Roman"/>
          <w:b/>
          <w:bCs/>
          <w:spacing w:val="-3"/>
          <w:lang w:eastAsia="en-US"/>
        </w:rPr>
        <w:t>Z</w:t>
      </w:r>
      <w:r>
        <w:rPr>
          <w:rFonts w:cs="Times New Roman"/>
          <w:b/>
          <w:bCs/>
          <w:spacing w:val="4"/>
          <w:lang w:eastAsia="en-US"/>
        </w:rPr>
        <w:t>a</w:t>
      </w:r>
      <w:r>
        <w:rPr>
          <w:rFonts w:cs="Times New Roman"/>
          <w:b/>
          <w:bCs/>
          <w:spacing w:val="-9"/>
          <w:lang w:eastAsia="en-US"/>
        </w:rPr>
        <w:t>m</w:t>
      </w:r>
      <w:r>
        <w:rPr>
          <w:rFonts w:cs="Times New Roman"/>
          <w:b/>
          <w:bCs/>
          <w:spacing w:val="5"/>
          <w:lang w:eastAsia="en-US"/>
        </w:rPr>
        <w:t>ó</w:t>
      </w:r>
      <w:r>
        <w:rPr>
          <w:rFonts w:cs="Times New Roman"/>
          <w:b/>
          <w:bCs/>
          <w:spacing w:val="4"/>
          <w:lang w:eastAsia="en-US"/>
        </w:rPr>
        <w:t>w</w:t>
      </w:r>
      <w:r>
        <w:rPr>
          <w:rFonts w:cs="Times New Roman"/>
          <w:b/>
          <w:bCs/>
          <w:spacing w:val="-4"/>
          <w:lang w:eastAsia="en-US"/>
        </w:rPr>
        <w:t>i</w:t>
      </w:r>
      <w:r>
        <w:rPr>
          <w:rFonts w:cs="Times New Roman"/>
          <w:b/>
          <w:bCs/>
          <w:spacing w:val="4"/>
          <w:lang w:eastAsia="en-US"/>
        </w:rPr>
        <w:t>e</w:t>
      </w:r>
      <w:r>
        <w:rPr>
          <w:rFonts w:cs="Times New Roman"/>
          <w:b/>
          <w:bCs/>
          <w:lang w:eastAsia="en-US"/>
        </w:rPr>
        <w:t>ń</w:t>
      </w:r>
      <w:r>
        <w:rPr>
          <w:rFonts w:cs="Times New Roman"/>
          <w:b/>
          <w:bCs/>
          <w:spacing w:val="-3"/>
          <w:lang w:eastAsia="en-US"/>
        </w:rPr>
        <w:t xml:space="preserve"> </w:t>
      </w:r>
      <w:r>
        <w:rPr>
          <w:rFonts w:cs="Times New Roman"/>
          <w:b/>
          <w:bCs/>
          <w:spacing w:val="1"/>
          <w:lang w:eastAsia="en-US"/>
        </w:rPr>
        <w:t>(</w:t>
      </w:r>
      <w:r>
        <w:rPr>
          <w:rFonts w:cs="Times New Roman"/>
          <w:b/>
          <w:bCs/>
          <w:spacing w:val="-2"/>
          <w:lang w:eastAsia="en-US"/>
        </w:rPr>
        <w:t>C</w:t>
      </w:r>
      <w:r>
        <w:rPr>
          <w:rFonts w:cs="Times New Roman"/>
          <w:b/>
          <w:bCs/>
          <w:spacing w:val="1"/>
          <w:lang w:eastAsia="en-US"/>
        </w:rPr>
        <w:t>P</w:t>
      </w:r>
      <w:r>
        <w:rPr>
          <w:rFonts w:cs="Times New Roman"/>
          <w:b/>
          <w:bCs/>
          <w:lang w:eastAsia="en-US"/>
        </w:rPr>
        <w:t>V</w:t>
      </w:r>
      <w:r>
        <w:rPr>
          <w:rFonts w:cs="Times New Roman"/>
          <w:b/>
          <w:bCs/>
          <w:spacing w:val="1"/>
          <w:lang w:eastAsia="en-US"/>
        </w:rPr>
        <w:t>)</w:t>
      </w:r>
      <w:r>
        <w:rPr>
          <w:rFonts w:cs="Times New Roman"/>
          <w:b/>
          <w:bCs/>
          <w:lang w:eastAsia="en-US"/>
        </w:rPr>
        <w:t>:</w:t>
      </w:r>
    </w:p>
    <w:p w14:paraId="5E722AED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eastAsia="Times New Roman"/>
        </w:rPr>
      </w:pPr>
      <w:r>
        <w:rPr>
          <w:rFonts w:eastAsia="Times New Roman"/>
        </w:rPr>
        <w:t>79952000-2 Usługi w zakresie organizacji imprez</w:t>
      </w:r>
    </w:p>
    <w:p w14:paraId="5CE5A627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eastAsia="Times New Roman"/>
        </w:rPr>
      </w:pPr>
      <w:r>
        <w:rPr>
          <w:rFonts w:eastAsia="Times New Roman"/>
        </w:rPr>
        <w:t>55300000-3 Usługi restauracyjne i dotyczące podawania posiłków</w:t>
      </w:r>
    </w:p>
    <w:p w14:paraId="7124211F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eastAsia="Times New Roman"/>
        </w:rPr>
      </w:pPr>
      <w:r>
        <w:rPr>
          <w:rFonts w:eastAsia="Times New Roman"/>
        </w:rPr>
        <w:t>79822500-7 Usługi projektów graficznych</w:t>
      </w:r>
    </w:p>
    <w:p w14:paraId="1217A53D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eastAsia="Times New Roman"/>
        </w:rPr>
      </w:pPr>
      <w:r>
        <w:rPr>
          <w:rFonts w:eastAsia="Times New Roman"/>
        </w:rPr>
        <w:t>79823000-9 Usługi drukowania i dostawy</w:t>
      </w:r>
    </w:p>
    <w:p w14:paraId="302ADC1E" w14:textId="77777777" w:rsidR="009F0437" w:rsidRDefault="009F0437">
      <w:pPr>
        <w:pStyle w:val="ListParagraph"/>
        <w:spacing w:after="0" w:line="240" w:lineRule="auto"/>
        <w:ind w:left="709"/>
        <w:jc w:val="both"/>
      </w:pPr>
      <w:r>
        <w:rPr>
          <w:rFonts w:eastAsia="Times New Roman"/>
        </w:rPr>
        <w:t>79992000-4 Usługi recepcyjne</w:t>
      </w:r>
    </w:p>
    <w:p w14:paraId="774B4542" w14:textId="77777777" w:rsidR="009F0437" w:rsidRDefault="009F0437">
      <w:pPr>
        <w:pStyle w:val="Tretekstu"/>
        <w:spacing w:after="0"/>
        <w:ind w:left="1134"/>
        <w:jc w:val="left"/>
        <w:rPr>
          <w:rFonts w:ascii="Calibri" w:eastAsia="MS Mincho" w:hAnsi="Calibri"/>
          <w:sz w:val="22"/>
          <w:szCs w:val="22"/>
          <w:lang w:eastAsia="pl-PL"/>
        </w:rPr>
      </w:pPr>
    </w:p>
    <w:p w14:paraId="1DACF76E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b/>
          <w:bCs/>
        </w:rPr>
      </w:pPr>
      <w:r>
        <w:rPr>
          <w:rFonts w:eastAsia="Times New Roman" w:cs="Times New Roman"/>
          <w:b/>
          <w:bCs/>
        </w:rPr>
        <w:t>Przesłanki wykluczenia z postępowania oraz warunki udziału w postępowaniu:</w:t>
      </w:r>
    </w:p>
    <w:p w14:paraId="0F9CF395" w14:textId="77777777" w:rsidR="009F0437" w:rsidRDefault="009F0437">
      <w:pPr>
        <w:numPr>
          <w:ilvl w:val="3"/>
          <w:numId w:val="1"/>
        </w:numPr>
        <w:spacing w:after="0" w:line="240" w:lineRule="auto"/>
        <w:ind w:left="709" w:hanging="283"/>
        <w:contextualSpacing/>
        <w:jc w:val="both"/>
        <w:rPr>
          <w:rFonts w:cs="Calibri"/>
        </w:rPr>
      </w:pPr>
      <w:r>
        <w:rPr>
          <w:rFonts w:cs="Calibri"/>
          <w:b/>
          <w:bCs/>
        </w:rPr>
        <w:t>Z postępowania o udzielenie zamówienia wyklucza się Wykonawcę:</w:t>
      </w:r>
    </w:p>
    <w:p w14:paraId="13394C96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cs="Calibri"/>
        </w:rPr>
      </w:pPr>
      <w:r>
        <w:rPr>
          <w:rFonts w:cs="Calibri"/>
        </w:rPr>
        <w:t>wobec którego prawomocnie orzeczono zakaz ubiegania się o zamówienia publiczne lub równoważny zakaz w kraju siedziby (wykluczenie następuje na okres, na jaki został prawomocnie orzeczony zakaz ubiegania się o zamówienie publiczne);</w:t>
      </w:r>
    </w:p>
    <w:p w14:paraId="183BC57A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cs="Calibri"/>
        </w:rPr>
      </w:pPr>
      <w:r>
        <w:rPr>
          <w:rFonts w:cs="Calibri"/>
        </w:rPr>
        <w:t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(wykluczenie następuje na okres 3 lat od zaistnienia zdarzenia będącego podstawą wykluczenia);</w:t>
      </w:r>
    </w:p>
    <w:p w14:paraId="48138886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cs="Calibri"/>
        </w:rPr>
      </w:pPr>
      <w:r>
        <w:rPr>
          <w:rFonts w:cs="Calibri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(wykluczenie następuje na okres 3 lat od zaistnienia zdarzenia będącego podstawą wykluczenia);</w:t>
      </w:r>
    </w:p>
    <w:p w14:paraId="30696727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cs="Calibri"/>
        </w:rPr>
      </w:pPr>
      <w:r>
        <w:rPr>
          <w:rFonts w:cs="Calibri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dokumentów (wykluczenie następuje na okres 2 lat od zaistnienia zdarzenia będącego podstawą wykluczenia);</w:t>
      </w:r>
    </w:p>
    <w:p w14:paraId="56A72147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cs="Calibri"/>
        </w:rPr>
      </w:pPr>
      <w:r>
        <w:rPr>
          <w:rFonts w:cs="Calibri"/>
        </w:rPr>
        <w:t>który bezprawnie wpływał lub próbował wpływać na czynności Zamawiającego lub próbował pozyskać lub pozyskał informacje poufne, mogące dać mu przewagę w postępowaniu o udzielenie zamówienia (wykluczenie następuje na okres 3 lat od zaistnienia zdarzenia będącego podstawą wykluczenia);</w:t>
      </w:r>
    </w:p>
    <w:p w14:paraId="64B48006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eastAsia="Times New Roman" w:cs="Calibri"/>
        </w:rPr>
      </w:pPr>
      <w:r>
        <w:rPr>
          <w:rFonts w:cs="Calibri"/>
        </w:rPr>
        <w:t xml:space="preserve">który w wyniku lekkomyślności lub niedbalstwa przedstawił informacje wprowadzające w błąd, co mogło mieć istotny wpływ na decyzje podejmowane przez Zamawiającego </w:t>
      </w:r>
      <w:r>
        <w:rPr>
          <w:rFonts w:cs="Calibri"/>
        </w:rPr>
        <w:br/>
        <w:t>w postępowaniu o udzielenie zamówienia (wykluczenie następuje na okres 1 roku od zaistnienia zdarzenia będącego podstawą wykluczenia);</w:t>
      </w:r>
    </w:p>
    <w:p w14:paraId="7BA06135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wymienionego w wykazach określonych w rozporządzeniu Rady (WE) nr 765/2006 i rozporządzeniu Rady (UE) nr 269/2014 albo wpisanego na listę na podstawie decyzji </w:t>
      </w:r>
      <w:r>
        <w:rPr>
          <w:rFonts w:eastAsia="Times New Roman" w:cs="Calibri"/>
        </w:rPr>
        <w:br/>
        <w:t xml:space="preserve">w sprawie wpisu na listę rozstrzygającą o zastosowaniu środka, o którym mowa w art. 1 </w:t>
      </w:r>
      <w:r>
        <w:rPr>
          <w:rFonts w:eastAsia="Times New Roman" w:cs="Calibri"/>
        </w:rPr>
        <w:lastRenderedPageBreak/>
        <w:t xml:space="preserve">pkt 3 ustawy z dnia 13 kwietnia 2022 r. o szczególnych rozwiązaniach w zakresie przeciwdziałania wspieraniu agresji na Ukrainę oraz służących ochronie bezpieczeństwa narodowego (Dz. U. z 2024 r. poz. 507) – </w:t>
      </w:r>
      <w:r>
        <w:rPr>
          <w:rFonts w:cs="Calibri"/>
        </w:rPr>
        <w:t>(wykluczenie następuje na okres trwania tej okoliczności)</w:t>
      </w:r>
      <w:r>
        <w:rPr>
          <w:rFonts w:eastAsia="Times New Roman" w:cs="Calibri"/>
        </w:rPr>
        <w:t>;</w:t>
      </w:r>
    </w:p>
    <w:p w14:paraId="52BE3832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którego beneficjentem rzeczywistym w rozumieniu ustawy z dnia 1 marca 2018 r. o przeciwdziałaniu praniu pieniędzy oraz finansowaniu terroryzmu (Dz. U. z 2023 r</w:t>
      </w:r>
      <w:r>
        <w:rPr>
          <w:rFonts w:eastAsia="Times New Roman" w:cs="Calibri"/>
        </w:rPr>
        <w:t xml:space="preserve">. poz. 1124) jest osoba wymieniona w wykazach określonych w rozporządzeniu Rady (WE) nr 765/2006 i rozporządzeniu Rady (UE) nr 269/2014 albo wpisana na listę lub będąca takim beneficjentem rzeczywistym od dnia 24 lutego 2022 r., o ile została wpisana na listę na podstawie decyzji w sprawie wpisu na listę rozstrzygającą o zastosowaniu środka, o którym mowa w art. 1 pkt 3 ustawy, o której mowa w pkt 7 </w:t>
      </w:r>
      <w:r>
        <w:rPr>
          <w:rFonts w:cs="Calibri"/>
        </w:rPr>
        <w:t>(wykluczenie następuje na okres trwania tej okoliczności)</w:t>
      </w:r>
      <w:r>
        <w:rPr>
          <w:rFonts w:eastAsia="Times New Roman" w:cs="Calibri"/>
        </w:rPr>
        <w:t>;</w:t>
      </w:r>
    </w:p>
    <w:p w14:paraId="667EBF70" w14:textId="77777777" w:rsidR="009F0437" w:rsidRDefault="009F0437">
      <w:pPr>
        <w:numPr>
          <w:ilvl w:val="2"/>
          <w:numId w:val="4"/>
        </w:numPr>
        <w:spacing w:after="0" w:line="240" w:lineRule="auto"/>
        <w:ind w:left="993" w:hanging="284"/>
        <w:contextualSpacing/>
        <w:jc w:val="both"/>
        <w:rPr>
          <w:rFonts w:cs="Times New Roman"/>
        </w:rPr>
      </w:pPr>
      <w:r>
        <w:rPr>
          <w:rFonts w:eastAsia="Times New Roman" w:cs="Calibri"/>
        </w:rPr>
        <w:t>którego jednostką dominującą w rozumieniu art. 3 u</w:t>
      </w:r>
      <w:r>
        <w:rPr>
          <w:rFonts w:eastAsia="Times New Roman" w:cs="Calibri"/>
        </w:rPr>
        <w:t xml:space="preserve">st. 1 pkt 37 ustawy z dnia 29 września 1994 r. o rachunkowości (Dz. U. z 2023 r. poz. 120), jest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na listę rozstrzygającej o zastosowaniu środka, o którym mowa w art. 1 pkt 3 ustawy, o której mowa w pkt 7 </w:t>
      </w:r>
      <w:r>
        <w:rPr>
          <w:rFonts w:cs="Calibri"/>
        </w:rPr>
        <w:t>(wykluczenie następuje na okres trw</w:t>
      </w:r>
      <w:r>
        <w:rPr>
          <w:rFonts w:cs="Calibri"/>
        </w:rPr>
        <w:t>ania tej okoliczności)</w:t>
      </w:r>
      <w:r>
        <w:rPr>
          <w:rFonts w:eastAsia="Times New Roman" w:cs="Calibri"/>
        </w:rPr>
        <w:t>;</w:t>
      </w:r>
    </w:p>
    <w:p w14:paraId="27830D65" w14:textId="77777777" w:rsidR="009F0437" w:rsidRDefault="009F0437">
      <w:pPr>
        <w:numPr>
          <w:ilvl w:val="2"/>
          <w:numId w:val="4"/>
        </w:numPr>
        <w:spacing w:after="0" w:line="240" w:lineRule="auto"/>
        <w:ind w:left="1134" w:hanging="425"/>
        <w:contextualSpacing/>
        <w:jc w:val="both"/>
        <w:rPr>
          <w:rFonts w:cs="Calibri"/>
          <w:sz w:val="12"/>
          <w:szCs w:val="12"/>
        </w:rPr>
      </w:pPr>
      <w:r>
        <w:rPr>
          <w:rFonts w:cs="Times New Roman"/>
        </w:rPr>
        <w:t>jeżeli występuje konflikt interesów w rozumieniu Dz. XII ust. 2 Zapytania, którego nie można skutecznie wyeliminować w inny sposób niż przez wykluczenie wykonawcy.</w:t>
      </w:r>
    </w:p>
    <w:p w14:paraId="69A5B022" w14:textId="77777777" w:rsidR="009F0437" w:rsidRDefault="009F0437">
      <w:pPr>
        <w:spacing w:after="0" w:line="240" w:lineRule="auto"/>
        <w:ind w:left="709"/>
        <w:contextualSpacing/>
        <w:jc w:val="both"/>
        <w:rPr>
          <w:rFonts w:cs="Calibri"/>
          <w:sz w:val="12"/>
          <w:szCs w:val="12"/>
        </w:rPr>
      </w:pPr>
    </w:p>
    <w:p w14:paraId="1462FD64" w14:textId="77777777" w:rsidR="009F0437" w:rsidRDefault="009F0437">
      <w:pPr>
        <w:numPr>
          <w:ilvl w:val="3"/>
          <w:numId w:val="1"/>
        </w:numPr>
        <w:spacing w:before="120" w:after="0" w:line="240" w:lineRule="atLeast"/>
        <w:ind w:left="709" w:hanging="284"/>
        <w:contextualSpacing/>
        <w:jc w:val="both"/>
        <w:rPr>
          <w:rFonts w:cs="Calibri"/>
          <w:bCs/>
        </w:rPr>
      </w:pPr>
      <w:r>
        <w:rPr>
          <w:rFonts w:cs="Calibri"/>
          <w:b/>
          <w:bCs/>
        </w:rPr>
        <w:t xml:space="preserve">O udzielenie zamówienia mogą ubiegać się Wykonawcy, którzy spełniają warunki udziału </w:t>
      </w:r>
      <w:r>
        <w:rPr>
          <w:rFonts w:cs="Calibri"/>
          <w:b/>
          <w:bCs/>
        </w:rPr>
        <w:br/>
        <w:t>w postępowaniu dotyczące:</w:t>
      </w:r>
    </w:p>
    <w:p w14:paraId="349FB487" w14:textId="77777777" w:rsidR="009F0437" w:rsidRDefault="009F0437">
      <w:pPr>
        <w:numPr>
          <w:ilvl w:val="4"/>
          <w:numId w:val="1"/>
        </w:numPr>
        <w:spacing w:before="120" w:after="0" w:line="240" w:lineRule="atLeast"/>
        <w:ind w:left="993" w:hanging="284"/>
        <w:contextualSpacing/>
        <w:jc w:val="both"/>
        <w:rPr>
          <w:rFonts w:eastAsia="Times New Roman" w:cs="Calibri"/>
        </w:rPr>
      </w:pPr>
      <w:r>
        <w:rPr>
          <w:rFonts w:cs="Calibri"/>
          <w:bCs/>
        </w:rPr>
        <w:t>zdolności do występowania w obrocie gospodarczym;</w:t>
      </w:r>
    </w:p>
    <w:p w14:paraId="6DDD78A8" w14:textId="77777777" w:rsidR="009F0437" w:rsidRDefault="009F0437">
      <w:pPr>
        <w:numPr>
          <w:ilvl w:val="4"/>
          <w:numId w:val="1"/>
        </w:numPr>
        <w:spacing w:before="120" w:after="0" w:line="240" w:lineRule="atLeast"/>
        <w:ind w:left="993" w:hanging="284"/>
        <w:contextualSpacing/>
        <w:jc w:val="both"/>
        <w:rPr>
          <w:rFonts w:cs="Calibri"/>
          <w:bCs/>
        </w:rPr>
      </w:pPr>
      <w:r>
        <w:rPr>
          <w:rFonts w:eastAsia="Times New Roman" w:cs="Calibri"/>
        </w:rPr>
        <w:t xml:space="preserve">uprawnień do prowadzenia określonej działalności gospodarczej lub zawodowej, </w:t>
      </w:r>
      <w:r>
        <w:rPr>
          <w:rFonts w:cs="Calibri"/>
          <w:bCs/>
          <w:spacing w:val="-2"/>
        </w:rPr>
        <w:t>o ile wynika to z odrębnych przepisów</w:t>
      </w:r>
      <w:r>
        <w:rPr>
          <w:rFonts w:eastAsia="Times New Roman" w:cs="Calibri"/>
        </w:rPr>
        <w:t>;</w:t>
      </w:r>
    </w:p>
    <w:p w14:paraId="646AA829" w14:textId="77777777" w:rsidR="009F0437" w:rsidRDefault="009F0437">
      <w:pPr>
        <w:numPr>
          <w:ilvl w:val="4"/>
          <w:numId w:val="1"/>
        </w:numPr>
        <w:spacing w:before="120" w:after="0" w:line="240" w:lineRule="atLeast"/>
        <w:ind w:left="993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sytuacji ekonomicznej lub finansowej;</w:t>
      </w:r>
    </w:p>
    <w:p w14:paraId="6AC212B8" w14:textId="77777777" w:rsidR="009F0437" w:rsidRDefault="009F0437">
      <w:pPr>
        <w:numPr>
          <w:ilvl w:val="4"/>
          <w:numId w:val="1"/>
        </w:numPr>
        <w:spacing w:before="120" w:after="0" w:line="240" w:lineRule="atLeast"/>
        <w:ind w:left="993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zdolności technicznej lub zawodowej, tj.: Wykonawcy, którzy:</w:t>
      </w:r>
    </w:p>
    <w:p w14:paraId="32551747" w14:textId="77777777" w:rsidR="009F0437" w:rsidRDefault="009F0437">
      <w:pPr>
        <w:numPr>
          <w:ilvl w:val="5"/>
          <w:numId w:val="1"/>
        </w:numPr>
        <w:spacing w:before="120" w:after="0" w:line="240" w:lineRule="atLeast"/>
        <w:ind w:left="1276" w:hanging="283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w okresie ostatnich 3 lat, przed upływem terminu składania ofert, a jeżeli okres prowadzenia działalności jest krótszy – w tym okresie, należycie zrealizowali co najmniej 3 zamówienia, dla co najmniej 2 różnych podmiotów, każde zamówienie polegało na kompleksowej organizacji co najmniej 2-dniowej konferencji / imprezy / wydarzenia, każde o wartości co najmniej 100 tys. zł brutto, oraz każde obejmowało m.in.:</w:t>
      </w:r>
    </w:p>
    <w:p w14:paraId="056AD0FE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dostarczenie i obsługę sprzętu technicznego;</w:t>
      </w:r>
    </w:p>
    <w:p w14:paraId="6DE05DB6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przygotowanie i stałe monitorowanie sali konferencyjnej i platformy internetowej pod kątem bieżących potrzeb uczestników;</w:t>
      </w:r>
    </w:p>
    <w:p w14:paraId="53780D38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aranżację sal i sceny;</w:t>
      </w:r>
    </w:p>
    <w:p w14:paraId="3FA01228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zapewnienie usługi cateringowej w trakcie konferencji / imprezy / wydarzenia;</w:t>
      </w:r>
    </w:p>
    <w:p w14:paraId="7AE5692F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obsługę wspierającą konferencję np. hostessy ze znajomością języka angielskiego w stopniu pozwalającym na swobodną komunikację w tym języku;</w:t>
      </w:r>
    </w:p>
    <w:p w14:paraId="4E013C6A" w14:textId="77777777" w:rsidR="009F0437" w:rsidRDefault="009F0437">
      <w:pPr>
        <w:spacing w:before="120" w:after="0" w:line="240" w:lineRule="atLeast"/>
        <w:ind w:left="1560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oraz każde zamówienie dodatkowo charakteryzowało się tym, że:</w:t>
      </w:r>
    </w:p>
    <w:p w14:paraId="20779097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w każdej konferencji / imprezie / wydarzeniu uczestniczyło co najmniej 100 osób;</w:t>
      </w:r>
    </w:p>
    <w:p w14:paraId="25F2C1C8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każda konferencja / impreza / wydarzenie trwała, co najmniej 2 dni i co najmniej 6 godzin zegarowych każdego dnia;</w:t>
      </w:r>
    </w:p>
    <w:p w14:paraId="6D00CFB9" w14:textId="77777777" w:rsidR="009F0437" w:rsidRDefault="009F0437">
      <w:pPr>
        <w:numPr>
          <w:ilvl w:val="5"/>
          <w:numId w:val="1"/>
        </w:numPr>
        <w:spacing w:before="120" w:after="0" w:line="240" w:lineRule="atLeast"/>
        <w:ind w:left="1276" w:hanging="283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do realizacji zamówienia skierują co najmniej 1 osobę (Koordynatora), która będzie odpowiedzialna za organizację konferencji będącej przedmiotem niniejszego zamówienia, która w ciągu ostatnich 3 lat, przed upływem terminu składania ofert, organizowała / koordynowała co najmniej 3 co najmniej 1-dniowe konferencje / imprezy / wydarzenia, dla co najmniej 2 różnych podmiotów, każde o wartości co </w:t>
      </w:r>
      <w:r>
        <w:rPr>
          <w:rFonts w:cs="Calibri"/>
          <w:bCs/>
        </w:rPr>
        <w:lastRenderedPageBreak/>
        <w:t>najmniej 50 tys. zł brutto, a w zakres działań Koordynatora przy każdej organizacji wchodziło m.in.:</w:t>
      </w:r>
    </w:p>
    <w:p w14:paraId="532DE3A4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koordynacja wszystkich działań związanych z organizacją i przebiegiem konferencji / imprezy / wydarzenia;</w:t>
      </w:r>
    </w:p>
    <w:p w14:paraId="2282F919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stałe monitorowanie przebiegu konferencji / imprezy / wydarzenia pod kątem potrzeb uczestników;</w:t>
      </w:r>
    </w:p>
    <w:p w14:paraId="159B0ADA" w14:textId="77777777" w:rsidR="009F0437" w:rsidRDefault="009F0437">
      <w:pPr>
        <w:spacing w:before="120" w:after="0" w:line="240" w:lineRule="atLeast"/>
        <w:ind w:left="1560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oraz organizacja każdej konferencji / imprezy / wydarzenia dodatkowo charakteryzowała się tym, że: </w:t>
      </w:r>
    </w:p>
    <w:p w14:paraId="77FC0DB5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w konferencji / imprezie / wydarzeniu uczestniczyło co najmniej 100 osób; </w:t>
      </w:r>
    </w:p>
    <w:p w14:paraId="1BA6C1A8" w14:textId="77777777" w:rsidR="009F0437" w:rsidRDefault="009F0437">
      <w:pPr>
        <w:numPr>
          <w:ilvl w:val="6"/>
          <w:numId w:val="1"/>
        </w:numPr>
        <w:spacing w:before="120" w:after="0" w:line="240" w:lineRule="atLeast"/>
        <w:ind w:left="1560" w:hanging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konferencja / impreza / wydarzenie trwała co najmniej 6 godzin zegarowych. </w:t>
      </w:r>
    </w:p>
    <w:p w14:paraId="676008E5" w14:textId="77777777" w:rsidR="009F0437" w:rsidRDefault="009F0437">
      <w:pPr>
        <w:spacing w:before="120" w:after="0" w:line="240" w:lineRule="atLeast"/>
        <w:ind w:left="1560"/>
        <w:contextualSpacing/>
        <w:jc w:val="both"/>
        <w:rPr>
          <w:b/>
        </w:rPr>
      </w:pPr>
      <w:r>
        <w:rPr>
          <w:rFonts w:cs="Calibri"/>
          <w:bCs/>
        </w:rPr>
        <w:t>Uwaga: Wskazana osoba (Koordynator) musi znać język angielski w stopniu pozwalającym na swobodną komunikację w tym języku.</w:t>
      </w:r>
    </w:p>
    <w:p w14:paraId="6A42223D" w14:textId="77777777" w:rsidR="009F0437" w:rsidRDefault="009F0437">
      <w:pPr>
        <w:spacing w:before="120" w:after="0" w:line="240" w:lineRule="atLeast"/>
        <w:contextualSpacing/>
        <w:jc w:val="both"/>
        <w:rPr>
          <w:b/>
        </w:rPr>
      </w:pPr>
    </w:p>
    <w:p w14:paraId="06287154" w14:textId="77777777" w:rsidR="009F0437" w:rsidRDefault="009F0437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="Calibri"/>
          <w:bCs/>
        </w:rPr>
      </w:pPr>
      <w:r>
        <w:rPr>
          <w:rFonts w:cs="Calibri"/>
          <w:bCs/>
          <w:color w:val="000000"/>
        </w:rPr>
        <w:t xml:space="preserve">Spełnienie warunków udziału w postępowaniu będzie ocenianie na zasadzie spełnia/nie spełnia. Ocena spełnienia warunków zostanie dokonana na podstawie informacji zawartych </w:t>
      </w:r>
      <w:r>
        <w:rPr>
          <w:rFonts w:cs="Calibri"/>
          <w:bCs/>
          <w:color w:val="000000"/>
        </w:rPr>
        <w:br/>
        <w:t xml:space="preserve">w Formularzu ofertowym (Załącznik nr 1 do Zapytania ofertowego) oraz załączonych do oferty dokumentów. </w:t>
      </w:r>
    </w:p>
    <w:p w14:paraId="58905DF5" w14:textId="77777777" w:rsidR="009F0437" w:rsidRDefault="009F0437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="Calibri"/>
          <w:bCs/>
        </w:rPr>
      </w:pPr>
      <w:r>
        <w:rPr>
          <w:rFonts w:cs="Calibri"/>
          <w:bCs/>
        </w:rPr>
        <w:t>Zamawiający może najpierw dokonać badania i oceny ofert, a następnie dokonać kwalifikacji podmiotowej Wykonawcy, którego oferta została najwyżej oceniona, w zakresie braku podstaw wykluczenia oraz spełniania warunków udziału w postępowaniu.</w:t>
      </w:r>
    </w:p>
    <w:p w14:paraId="357173EB" w14:textId="77777777" w:rsidR="009F0437" w:rsidRDefault="009F0437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="Calibri"/>
          <w:bCs/>
        </w:rPr>
      </w:pPr>
      <w:r>
        <w:rPr>
          <w:rFonts w:cs="Calibri"/>
          <w:bCs/>
        </w:rPr>
        <w:t>W razie potrzeby Zamawiający, w odniesieniu do ofert Wykonawców pozostałych w postępowaniu, dokonuje kwalifikacji podmiotowej Wykonawcy, którego oferta została najwyżej oceniona spośród pozostałych ofert, w zakresie braku podstaw wykluczenia oraz spełniania warunków udziału w postępowaniu, do momentu wyboru najkorzystniejszej oferty lub unieważnienia postępowania.</w:t>
      </w:r>
    </w:p>
    <w:p w14:paraId="5C78D822" w14:textId="77777777" w:rsidR="009F0437" w:rsidRDefault="009F0437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="Calibri"/>
          <w:bCs/>
          <w:color w:val="000000"/>
        </w:rPr>
      </w:pPr>
      <w:r>
        <w:rPr>
          <w:rFonts w:cs="Calibri"/>
          <w:bCs/>
        </w:rPr>
        <w:t>Zamawiający może wykluczyć Wykonawcę na każdym etapie postępowania o udzielenie zamówienia.</w:t>
      </w:r>
    </w:p>
    <w:p w14:paraId="2308816C" w14:textId="77777777" w:rsidR="009F0437" w:rsidRDefault="009F0437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="Times New Roman"/>
          <w:b/>
          <w:bCs/>
          <w:color w:val="000000"/>
        </w:rPr>
      </w:pPr>
      <w:r>
        <w:rPr>
          <w:rFonts w:cs="Calibri"/>
          <w:bCs/>
          <w:color w:val="000000"/>
        </w:rPr>
        <w:t xml:space="preserve">Zamawiający zastrzega sobie możliwość weryfikacji złożonych dokumentów bezpośrednio </w:t>
      </w:r>
      <w:r>
        <w:rPr>
          <w:rFonts w:cs="Calibri"/>
          <w:bCs/>
          <w:color w:val="000000"/>
        </w:rPr>
        <w:br/>
        <w:t>u podmiotów, na rzecz których usługi były wykonywane.</w:t>
      </w:r>
    </w:p>
    <w:p w14:paraId="1859C362" w14:textId="77777777" w:rsidR="009F0437" w:rsidRDefault="009F0437">
      <w:pPr>
        <w:pStyle w:val="ListParagraph"/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 xml:space="preserve">Kryteria oceny ofert i ich wagi </w:t>
      </w:r>
      <w:r>
        <w:rPr>
          <w:rFonts w:cs="Calibri"/>
          <w:b/>
          <w:bCs/>
          <w:color w:val="000000"/>
        </w:rPr>
        <w:t xml:space="preserve">oraz </w:t>
      </w:r>
      <w:r>
        <w:rPr>
          <w:rFonts w:cs="Times New Roman"/>
          <w:b/>
          <w:bCs/>
          <w:color w:val="000000"/>
        </w:rPr>
        <w:t>sposób przyznawania punktów w kryteriach</w:t>
      </w:r>
      <w:r>
        <w:rPr>
          <w:rFonts w:cs="Times New Roman"/>
          <w:b/>
          <w:bCs/>
          <w:color w:val="000000"/>
        </w:rPr>
        <w:t>:</w:t>
      </w:r>
    </w:p>
    <w:p w14:paraId="46A95474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Ocenie według poniższych kryteriów będą podlegać tylko oferty nieodrzucone oraz spełniające wszystkie wymogi formalne określone w niniejszym Zapytaniu ofertowym.</w:t>
      </w:r>
    </w:p>
    <w:p w14:paraId="6919B56A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b/>
          <w:bCs/>
        </w:rPr>
      </w:pPr>
      <w:r>
        <w:rPr>
          <w:rFonts w:cs="Times New Roman"/>
          <w:color w:val="000000"/>
        </w:rPr>
        <w:t>Ocena ofert zostanie przeprowadzona wyłącznie w oparciu o przedstawione poniżej kryteria:</w:t>
      </w:r>
    </w:p>
    <w:p w14:paraId="1A518418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[C] Cena brutto – 70%</w:t>
      </w:r>
    </w:p>
    <w:p w14:paraId="4445455D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[P] Doświadczenie Koordynatora – 20%</w:t>
      </w:r>
    </w:p>
    <w:p w14:paraId="3082E6EA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Style w:val="markedcontent"/>
        </w:rPr>
      </w:pPr>
      <w:r>
        <w:rPr>
          <w:rFonts w:eastAsia="Times New Roman" w:cs="Times New Roman"/>
          <w:b/>
          <w:bCs/>
        </w:rPr>
        <w:t>[L] Lokalizacja – 10%</w:t>
      </w:r>
    </w:p>
    <w:p w14:paraId="28E16897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color w:val="000000"/>
        </w:rPr>
      </w:pPr>
      <w:r>
        <w:rPr>
          <w:rStyle w:val="markedcontent"/>
        </w:rPr>
        <w:t>Zamawiający dokona oceny ofert przyznając punkty w ramach kryterium oceny ofert, przyjmując zasadę, że 1% = 1 punkt. Końcowe wyniki poniższych działań zostaną zaokrąglone do dwóch miejsc po przecinku.</w:t>
      </w:r>
    </w:p>
    <w:p w14:paraId="6A762A91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Punkty w kryterium </w:t>
      </w:r>
      <w:r>
        <w:rPr>
          <w:rFonts w:cs="Times New Roman"/>
          <w:b/>
          <w:color w:val="000000"/>
        </w:rPr>
        <w:t>„Cena brutto”</w:t>
      </w:r>
      <w:r>
        <w:rPr>
          <w:rFonts w:cs="Times New Roman"/>
          <w:color w:val="000000"/>
        </w:rPr>
        <w:t xml:space="preserve"> zostaną obliczone według wzoru:</w:t>
      </w:r>
    </w:p>
    <w:p w14:paraId="524BE1FA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2" w:hanging="284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Cena brutto oferty najtańszej</w:t>
      </w:r>
    </w:p>
    <w:p w14:paraId="442923D7" w14:textId="77777777" w:rsidR="009F0437" w:rsidRDefault="009F0437">
      <w:pPr>
        <w:pStyle w:val="ListParagraph"/>
        <w:spacing w:after="0" w:line="240" w:lineRule="auto"/>
        <w:ind w:left="992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------------------------------------------- x 70;</w:t>
      </w:r>
    </w:p>
    <w:p w14:paraId="7950B7C8" w14:textId="77777777" w:rsidR="009F0437" w:rsidRDefault="009F0437">
      <w:pPr>
        <w:pStyle w:val="ListParagraph"/>
        <w:spacing w:after="0" w:line="240" w:lineRule="auto"/>
        <w:ind w:left="99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Cena brutto oferty badanej</w:t>
      </w:r>
    </w:p>
    <w:p w14:paraId="28A77B34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Oferta w tym kryterium może uzyskać </w:t>
      </w:r>
      <w:r>
        <w:rPr>
          <w:rFonts w:cs="Times New Roman"/>
          <w:b/>
          <w:color w:val="000000"/>
        </w:rPr>
        <w:t>maks. 70 pkt;</w:t>
      </w:r>
    </w:p>
    <w:p w14:paraId="3C2E43FF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</w:pPr>
      <w:r>
        <w:rPr>
          <w:rFonts w:cs="Times New Roman"/>
          <w:color w:val="000000"/>
        </w:rPr>
        <w:t>Końcowy wynik powyższego działania zostanie zaokrąglony do dwóch miejsc po przecinku.</w:t>
      </w:r>
    </w:p>
    <w:p w14:paraId="55F359C3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color w:val="000000"/>
        </w:rPr>
      </w:pPr>
      <w:r>
        <w:t xml:space="preserve">Punkty w kryterium </w:t>
      </w:r>
      <w:r>
        <w:rPr>
          <w:rFonts w:cs="Times New Roman"/>
          <w:b/>
          <w:bCs/>
          <w:color w:val="000000"/>
        </w:rPr>
        <w:t>„Doświadczenie Koordynatora”</w:t>
      </w:r>
      <w:r>
        <w:t xml:space="preserve"> zostaną przyznane n</w:t>
      </w:r>
      <w:r>
        <w:rPr>
          <w:rFonts w:cs="Times New Roman"/>
        </w:rPr>
        <w:t>a podstawie informacji podanych przez Wykonawcę w Formularzu ofertowym:</w:t>
      </w:r>
    </w:p>
    <w:p w14:paraId="73C77CA8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ocenie będzie podlegać liczba z</w:t>
      </w:r>
      <w:r>
        <w:rPr>
          <w:rFonts w:eastAsia="Times New Roman" w:cs="Times New Roman"/>
        </w:rPr>
        <w:t xml:space="preserve">organizowanych / koordynowanych </w:t>
      </w:r>
      <w:r>
        <w:rPr>
          <w:rFonts w:eastAsia="Times New Roman" w:cs="Times New Roman"/>
          <w:color w:val="000000"/>
        </w:rPr>
        <w:t>konferencji / imprez / wydarzeń spełniających wszystkie wymagania, o których mowa w Dz. IV ust. 2 pkt 4 lit. b, przez Koordynatora;</w:t>
      </w:r>
    </w:p>
    <w:p w14:paraId="47062BAC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lastRenderedPageBreak/>
        <w:t xml:space="preserve">oferta w tym kryterium może uzyskać </w:t>
      </w:r>
      <w:r>
        <w:rPr>
          <w:rFonts w:eastAsia="Times New Roman" w:cs="Times New Roman"/>
          <w:b/>
          <w:color w:val="000000"/>
        </w:rPr>
        <w:t>maks.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20 pkt,</w:t>
      </w:r>
      <w:r>
        <w:rPr>
          <w:rFonts w:eastAsia="Times New Roman" w:cs="Times New Roman"/>
          <w:color w:val="000000"/>
        </w:rPr>
        <w:t xml:space="preserve"> tj. za zorganizowanie / koordynowanie przez Koordynatora:</w:t>
      </w:r>
    </w:p>
    <w:p w14:paraId="52C63C07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 konferencji / imprez / wydarzeń</w:t>
      </w:r>
      <w:r>
        <w:rPr>
          <w:rFonts w:cs="Calibri"/>
          <w:color w:val="000000"/>
        </w:rPr>
        <w:t>: oferta otrzyma 0 pkt;</w:t>
      </w:r>
    </w:p>
    <w:p w14:paraId="19F9AA84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 konferencji / imprez / wydarzeń</w:t>
      </w:r>
      <w:r>
        <w:rPr>
          <w:rFonts w:cs="Calibri"/>
          <w:color w:val="000000"/>
        </w:rPr>
        <w:t>: oferta otrzyma 5 pkt;</w:t>
      </w:r>
    </w:p>
    <w:p w14:paraId="1A0F58DB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 konferencji / imprez / wydarzeń</w:t>
      </w:r>
      <w:r>
        <w:rPr>
          <w:rFonts w:cs="Calibri"/>
          <w:color w:val="000000"/>
        </w:rPr>
        <w:t>: oferta otrzyma 10 pkt.</w:t>
      </w:r>
    </w:p>
    <w:p w14:paraId="59D0874C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 konferencji / imprez / wydarzeń</w:t>
      </w:r>
      <w:r>
        <w:rPr>
          <w:rFonts w:cs="Calibri"/>
          <w:color w:val="000000"/>
        </w:rPr>
        <w:t>: oferta otrzyma 15 pkt.</w:t>
      </w:r>
    </w:p>
    <w:p w14:paraId="2FE3623A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</w:rPr>
        <w:t>7 konferencji / imprez / wydarzeń</w:t>
      </w:r>
      <w:r>
        <w:rPr>
          <w:rFonts w:cs="Calibri"/>
          <w:color w:val="000000"/>
        </w:rPr>
        <w:t>: oferta otrzyma 20 pkt.</w:t>
      </w:r>
    </w:p>
    <w:p w14:paraId="413C08F6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</w:pPr>
      <w:r>
        <w:rPr>
          <w:rFonts w:eastAsia="Times New Roman" w:cs="Times New Roman"/>
          <w:bCs/>
        </w:rPr>
        <w:t>W Formularzu ofertowym Wykonawca wskazuje jednego Koordynatora.</w:t>
      </w:r>
    </w:p>
    <w:p w14:paraId="3730A08E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</w:rPr>
      </w:pPr>
      <w:r>
        <w:t xml:space="preserve">Punkty w kryterium </w:t>
      </w:r>
      <w:r>
        <w:rPr>
          <w:b/>
        </w:rPr>
        <w:t>„Lokalizacja”</w:t>
      </w:r>
      <w:r>
        <w:rPr>
          <w:rFonts w:cs="Times New Roman"/>
        </w:rPr>
        <w:t>:</w:t>
      </w:r>
    </w:p>
    <w:p w14:paraId="5F8C4399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Times New Roman"/>
          <w:b/>
          <w:bCs/>
        </w:rPr>
      </w:pPr>
      <w:r>
        <w:rPr>
          <w:rFonts w:cs="Times New Roman"/>
        </w:rPr>
        <w:t>Poniższą liczbę punktów otrzyma oferta, w której zaproponowane miejsce organizacji konferencji posiada następujące cechy:</w:t>
      </w:r>
    </w:p>
    <w:p w14:paraId="230A2085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</w:rPr>
      </w:pPr>
      <w:r>
        <w:rPr>
          <w:rFonts w:cs="Times New Roman"/>
          <w:b/>
          <w:bCs/>
        </w:rPr>
        <w:t xml:space="preserve">10 pkt: </w:t>
      </w:r>
    </w:p>
    <w:p w14:paraId="568E6349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 nie jest hotelem ani częścią hotelu;</w:t>
      </w:r>
    </w:p>
    <w:p w14:paraId="2F83C09C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podstawową funkcją obiektu jest działalność naukowa, badawcza, edukacyjna, technologiczna, innowacyjna lub popularyzacja nauki;</w:t>
      </w:r>
    </w:p>
    <w:p w14:paraId="6C80F962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 posiada stałą profesjonalną infrastrukturę konferencyjną;</w:t>
      </w:r>
    </w:p>
    <w:p w14:paraId="2AEC2734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obiekcie organizowane są regularne wydarzenia naukowe, akademickie, technologiczne, startupowe lub branżowe;</w:t>
      </w:r>
    </w:p>
    <w:p w14:paraId="40A8C072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obiekt pełni co najmniej jedną z następujących funkcji: centrum nauki, centrum innowacji, kampus uczelni, park technologiczny, centrum transferu technologii, instytut badawczy lub podobny obiekt związany z działalnością naukową lub technologiczną.</w:t>
      </w:r>
    </w:p>
    <w:p w14:paraId="24EBA4FD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0 pkt:</w:t>
      </w:r>
    </w:p>
    <w:p w14:paraId="7F255400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 posiada stałą infrastrukturę konferencyjną umożliwiającą organizację wydarzeń dla co najmniej 300 osób;</w:t>
      </w:r>
    </w:p>
    <w:p w14:paraId="561478E3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którym organizowane są regularne wydarzenia biznesowe, branżowe, technologiczne, naukowe lub edukacyjne;</w:t>
      </w:r>
    </w:p>
    <w:p w14:paraId="6A6E8417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którego działalność konferencyjna ma charakter stały i profesjonalny;</w:t>
      </w:r>
    </w:p>
    <w:p w14:paraId="2CCE4837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obiekt:</w:t>
      </w:r>
    </w:p>
    <w:p w14:paraId="00B52201" w14:textId="77777777" w:rsidR="009F0437" w:rsidRDefault="009F0437">
      <w:pPr>
        <w:pStyle w:val="ListParagraph"/>
        <w:numPr>
          <w:ilvl w:val="4"/>
          <w:numId w:val="4"/>
        </w:numPr>
        <w:spacing w:after="0" w:line="240" w:lineRule="auto"/>
        <w:ind w:left="1560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jest częścią hotelu lub</w:t>
      </w:r>
    </w:p>
    <w:p w14:paraId="3FE6206F" w14:textId="77777777" w:rsidR="009F0437" w:rsidRDefault="009F0437">
      <w:pPr>
        <w:pStyle w:val="ListParagraph"/>
        <w:numPr>
          <w:ilvl w:val="4"/>
          <w:numId w:val="4"/>
        </w:numPr>
        <w:spacing w:after="0" w:line="240" w:lineRule="auto"/>
        <w:ind w:left="1560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posiada profesjonalną funkcję konferencyjną, ale jego podstawową funkcją nie jest działalność naukowa, badawcza, edukacyjna, technologiczna lub innowacyjna.</w:t>
      </w:r>
    </w:p>
    <w:p w14:paraId="7A771245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zaproponowania obiektu niespełniającego minimalnych wymagań określonych w OPZ dotyczących miejsca organizacji konferencji, oferta podlega odrzuceniu. Za obiekt niespełniający wymagań uznaje się w szczególności:</w:t>
      </w:r>
    </w:p>
    <w:p w14:paraId="4504E577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 nieposiadający stałej profesjonalnej infrastruktury konferencyjnej umożliwiającej organizację konferencji dla ok. 300 osób,</w:t>
      </w:r>
    </w:p>
    <w:p w14:paraId="67E3DE92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 reklamowany lub oferowany przede wszystkim jako miejsce organizacji wesel, bankietów lub imprez okolicznościowych,</w:t>
      </w:r>
    </w:p>
    <w:p w14:paraId="2BDE66CD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restaurację lub salę eventową bez stałego zaplecza konferencyjnego,</w:t>
      </w:r>
    </w:p>
    <w:p w14:paraId="0E1A7F32" w14:textId="77777777" w:rsidR="009F0437" w:rsidRDefault="009F0437">
      <w:pPr>
        <w:pStyle w:val="ListParagraph"/>
        <w:numPr>
          <w:ilvl w:val="3"/>
          <w:numId w:val="4"/>
        </w:numPr>
        <w:spacing w:after="0" w:line="240" w:lineRule="auto"/>
        <w:ind w:left="1276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obiekt, w którym działalność konferencyjna ma charakter okazjonalny lub pomocniczy.</w:t>
      </w:r>
    </w:p>
    <w:p w14:paraId="298E67E6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Wykonawca zobowiązany jest wskazać nazwę i adres obiektu oraz link do oficjalnej strony internetowej obiektu lub innego publicznie dostępnego źródła potwierdzającego informacje o obiekcie, o ile takie źródło jest dostępne. W Formularzu ofertowym Wykonawca zaznacza „X” lub „Tak” przy jednym z wariantów dotyczących charakteru zaproponowanego obiektu: wariant A – obiekt, dla którego Wykonawca ubiega się o przyznanie 10 pkt w kryterium „Lokalizacja”, albo wariant B – obiekt, dla którego Wykonawca nie ubiega si</w:t>
      </w:r>
      <w:r>
        <w:rPr>
          <w:rFonts w:eastAsia="Times New Roman" w:cs="Times New Roman"/>
        </w:rPr>
        <w:t>ę o przyznanie 10 pkt w tym kryterium.</w:t>
      </w:r>
    </w:p>
    <w:p w14:paraId="5734A803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Ocena kryterium zostanie dokonana na podstawie informacji zawartych w Formularzu ofertowym oraz publicznie dostępnych informacji o obiekcie.</w:t>
      </w:r>
    </w:p>
    <w:p w14:paraId="1A1E638B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color w:val="000000"/>
        </w:rPr>
      </w:pPr>
      <w:r>
        <w:rPr>
          <w:rFonts w:eastAsia="Times New Roman" w:cs="Times New Roman"/>
          <w:b/>
          <w:bCs/>
        </w:rPr>
        <w:t>Ostateczna liczba punktów jaką uzyska oferta = C+P+L</w:t>
      </w:r>
    </w:p>
    <w:p w14:paraId="1ADD86EB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lastRenderedPageBreak/>
        <w:t>Za najkorzystniejszą uznana zostanie oferta, która otrzyma najwyższą liczbę punktów.</w:t>
      </w:r>
    </w:p>
    <w:p w14:paraId="3F8D9A6C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 w:cs="Times New Roman"/>
          <w:bCs/>
        </w:rPr>
      </w:pPr>
      <w:r>
        <w:rPr>
          <w:rFonts w:cs="Times New Roman"/>
          <w:b/>
          <w:color w:val="000000"/>
        </w:rPr>
        <w:t>Maksymalna liczba punktów jaką może uzyskać oceniana oferta to 100 pkt.</w:t>
      </w:r>
    </w:p>
    <w:p w14:paraId="3669EBCA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Calibri"/>
          <w:color w:val="000000"/>
        </w:rPr>
      </w:pPr>
      <w:r>
        <w:rPr>
          <w:rFonts w:eastAsia="Times New Roman" w:cs="Times New Roman"/>
          <w:bCs/>
        </w:rPr>
        <w:t>Jeżeli nie będzie można dokonać wyboru oferty najkorzystniejszej ze względu na to, że dwie lub więcej ofert przedstawia taki sam bilans ceny i pozostałych kryteriów, Zamawiający wybierze spośród tych ofert, ofertę, która otrzyma najwyższą ocenę w kryterium o najwyższej wadze. Jeżeli oferty otrzymają taką samą ocenę w kryterium o najwyższej wadze, Zamawiający wybierze ofertę z najniższą ceną. Jeżeli nie będzie można dokonać wyboru oferty w ten sposób, Zamawiający wezwie Wykonawców, którzy złożyli te oferty,</w:t>
      </w:r>
      <w:r>
        <w:rPr>
          <w:rFonts w:eastAsia="Times New Roman" w:cs="Times New Roman"/>
          <w:bCs/>
        </w:rPr>
        <w:t xml:space="preserve"> do złożenia w terminie przez niego określonym ofert dodatkowych zawierających nową cenę. Wykonawcy składając oferty dodatkowe, nie mogą zaoferować cen wyższych niż zaoferowane w uprzednio złożonych ofertach.</w:t>
      </w:r>
    </w:p>
    <w:p w14:paraId="188773F6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Jeśli Wykonawca składa ofertę, której wybór prowadziłby do powstania u Zamawiającego obowiązku podatkowego zgodnie z ustawą z dnia 11 marca 2004 r. o podatku od towarów </w:t>
      </w:r>
      <w:r>
        <w:rPr>
          <w:rFonts w:cs="Calibri"/>
          <w:color w:val="000000"/>
        </w:rPr>
        <w:br/>
        <w:t>i usług (t.j.: Dz.U.2024 r., poz. 361 z późn. zm.), ma on obowiązek w tej ofercie:</w:t>
      </w:r>
    </w:p>
    <w:p w14:paraId="1F785419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113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poinformowania Zamawiającego, że wybór jego oferty będzie prowadził do powstania u Zamawiającego obowiązku podatkowego;</w:t>
      </w:r>
    </w:p>
    <w:p w14:paraId="663F119B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113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wskazania nazwy (rodzaju) towaru i usługi, których dostawa lub świadczenie będą prowadziły do powstania obowiązku podatkowego;</w:t>
      </w:r>
    </w:p>
    <w:p w14:paraId="1C934EF0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113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wskazania wartości towaru lub usługi objętego obowiązkiem podatkowym Zamawiającego, bez kwoty podatku;</w:t>
      </w:r>
    </w:p>
    <w:p w14:paraId="5A4808AE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113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wskazania stawki podatku od towarów i usług, która zgodnie z wiedzą Wykonawcy będzie miała zastosowanie.</w:t>
      </w:r>
    </w:p>
    <w:p w14:paraId="1881DD98" w14:textId="77777777" w:rsidR="009F0437" w:rsidRDefault="009F0437">
      <w:pPr>
        <w:pStyle w:val="ListParagraph"/>
        <w:spacing w:after="0" w:line="240" w:lineRule="auto"/>
        <w:ind w:left="1134"/>
        <w:jc w:val="both"/>
        <w:rPr>
          <w:rFonts w:eastAsia="Times New Roman" w:cs="Times New Roman"/>
          <w:bCs/>
        </w:rPr>
      </w:pPr>
      <w:r>
        <w:rPr>
          <w:rFonts w:cs="Calibri"/>
          <w:color w:val="000000"/>
        </w:rPr>
        <w:t>Zamawiający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w celu oceny takiej oferty dolicza do przedstawionej w niej ceny podatek od towarów i usług, który miałby obowiązek rozliczyć zgodnie z ww. ustawą</w:t>
      </w:r>
      <w:r>
        <w:rPr>
          <w:rFonts w:cs="Times New Roman"/>
          <w:color w:val="000000"/>
        </w:rPr>
        <w:t>.</w:t>
      </w:r>
    </w:p>
    <w:p w14:paraId="491ED6A7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Zamawiający przewiduje możliwość przeprowadzenia negocjacji wyłącznie z Wykonawcą, którego oferta została najwyżej oceniona, w zakresie ceny oferty brutto, w szczególności w przypadku, gdy cena tej oferty przewyższa kwotę, jaką Zamawiający zamierza przeznaczyć na sfinansowanie zamówienia.</w:t>
      </w:r>
    </w:p>
    <w:p w14:paraId="3F1D949E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Negocjacje nie mogą prowadzić do zmiany zakresu przedmiotu zamówienia, warunków udziału w postępowaniu ani kryteriów oceny ofert.</w:t>
      </w:r>
    </w:p>
    <w:p w14:paraId="6CDB43F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 wyniku negocjacji Wykonawca może złożyć ofertę dodatkową zawierającą nową cenę, która nie może być wyższa od ceny pierwotnie zaoferowanej.</w:t>
      </w:r>
    </w:p>
    <w:p w14:paraId="32CB6161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Przebieg negocjacji zostanie udokumentowany w formie pisemnej.</w:t>
      </w:r>
    </w:p>
    <w:p w14:paraId="3F638973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bCs/>
        </w:rPr>
      </w:pPr>
    </w:p>
    <w:p w14:paraId="689CD7FE" w14:textId="77777777" w:rsidR="009F0437" w:rsidRDefault="009F0437">
      <w:pPr>
        <w:pStyle w:val="ListParagraph"/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cs="Calibri"/>
          <w:b/>
        </w:rPr>
      </w:pPr>
      <w:r>
        <w:rPr>
          <w:rFonts w:cs="Times New Roman"/>
          <w:b/>
        </w:rPr>
        <w:t>Wykaz dokumentów wymaganych przez Zamawiającego:</w:t>
      </w:r>
    </w:p>
    <w:p w14:paraId="64171598" w14:textId="77777777" w:rsidR="009F0437" w:rsidRDefault="009F0437">
      <w:pPr>
        <w:pStyle w:val="ListParagraph"/>
        <w:numPr>
          <w:ilvl w:val="1"/>
          <w:numId w:val="4"/>
        </w:numPr>
        <w:spacing w:before="120" w:after="120" w:line="240" w:lineRule="auto"/>
        <w:ind w:left="709" w:hanging="283"/>
        <w:jc w:val="both"/>
        <w:rPr>
          <w:rFonts w:cs="Times New Roman"/>
          <w:b/>
          <w:bCs/>
        </w:rPr>
      </w:pPr>
      <w:r>
        <w:rPr>
          <w:rFonts w:cs="Calibri"/>
          <w:b/>
        </w:rPr>
        <w:t>Wypełniony i podpisany Formularz ofertowy</w:t>
      </w:r>
      <w:r>
        <w:rPr>
          <w:rFonts w:cs="Calibri"/>
        </w:rPr>
        <w:t xml:space="preserve"> stanowiący Załącznik nr 1 do Zapytania ofertowego, w którym znajduje się m.in. wycena całego zamówienia z dokładnością do dwóch miejsc po przecinku oraz inne niezbędne informacje. </w:t>
      </w:r>
      <w:r>
        <w:t>Wykonawca musi uwzględnić w cenie oferty wszelkie koszty niezbędne dla prawidłowego i pełnego wykonania zamówienia oraz wszelkie opłaty i podatki wynikające z obowiązujących przepisów. Podana przez Wykonawcę wartość zamówienia w zł brutto jest wartością za zrealizowanie całości przedmiotu zamówienia.</w:t>
      </w:r>
    </w:p>
    <w:p w14:paraId="64A45EC1" w14:textId="77777777" w:rsidR="009F0437" w:rsidRDefault="009F0437">
      <w:pPr>
        <w:pStyle w:val="ListParagraph"/>
        <w:numPr>
          <w:ilvl w:val="1"/>
          <w:numId w:val="4"/>
        </w:numPr>
        <w:spacing w:before="120" w:after="120" w:line="240" w:lineRule="auto"/>
        <w:ind w:left="709" w:hanging="283"/>
        <w:jc w:val="both"/>
        <w:rPr>
          <w:rFonts w:eastAsia="Times New Roman"/>
          <w:b/>
          <w:bCs/>
        </w:rPr>
      </w:pPr>
      <w:r>
        <w:rPr>
          <w:rFonts w:cs="Times New Roman"/>
          <w:b/>
          <w:bCs/>
        </w:rPr>
        <w:t>Referencje lub inne dokumenty</w:t>
      </w:r>
      <w:r>
        <w:rPr>
          <w:rFonts w:cs="Times New Roman"/>
        </w:rPr>
        <w:t xml:space="preserve"> potwierdzające, że zamówienia, o których mowa w Dz. IV ust. 2 pkt 4 lit. a Zapytania ofertowego, wykazane w ust. 5 FO, zostały zrealizowane lub są wykonywane należycie. W przypadku, gdy Zamawiający (FNP) jest podmiotem, na rzecz którego wskazane zamówienia zostały zrealizowane lub są realizowane, Wykonawca nie ma obowiązku przedkładania dokumentów potwierdzających ich należyte zrealizowanie/realizowanie. Wykonawca zobowiązany jest przedłożyć dowody określające czy te zamówienia zostały wykonane należycie, </w:t>
      </w:r>
      <w:r>
        <w:rPr>
          <w:rFonts w:cs="Times New Roman"/>
        </w:rPr>
        <w:t>przy czym dowodami, o których mowa, są np. referencje bądź inne dokumenty sporządzone przez podmiot, na rzecz którego usługi zostały wykonane, np. protokoły odbioru, poświadczające należyte wykonanie zamówienia.</w:t>
      </w:r>
    </w:p>
    <w:p w14:paraId="10D3F99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/>
          <w:b/>
        </w:rPr>
      </w:pPr>
      <w:r>
        <w:rPr>
          <w:rFonts w:eastAsia="Times New Roman"/>
          <w:b/>
          <w:bCs/>
        </w:rPr>
        <w:lastRenderedPageBreak/>
        <w:t>Aktualny odpis z właściwego rejestru</w:t>
      </w:r>
      <w:r>
        <w:rPr>
          <w:rFonts w:eastAsia="Times New Roman"/>
          <w:bCs/>
        </w:rPr>
        <w:t xml:space="preserve">/rejestrów lub centralnej ewidencji i informacji </w:t>
      </w:r>
      <w:r>
        <w:rPr>
          <w:rFonts w:eastAsia="Times New Roman"/>
          <w:bCs/>
        </w:rPr>
        <w:br/>
        <w:t>o działalności gospodarczej, jeżeli odrębne przepisy wymagają wpisu do rejestru/rejestrów lub ewidencji, wystawiony nie wcześniej niż 3 miesięcy przed upływem terminu składania ofert.</w:t>
      </w:r>
    </w:p>
    <w:p w14:paraId="2F1AE9C7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  <w:b/>
        </w:rPr>
        <w:t>Pełnomocnictwo</w:t>
      </w:r>
      <w:r>
        <w:rPr>
          <w:rFonts w:eastAsia="Times New Roman"/>
        </w:rPr>
        <w:t xml:space="preserve">/Pełnomocnictwa dla osoby/osób podpisujących ofertę, jeżeli umocowanie tej osoby/tych osób do składania oświadczeń woli w imieniu Wykonawcy nie wynika </w:t>
      </w:r>
      <w:r>
        <w:rPr>
          <w:rFonts w:eastAsia="Times New Roman"/>
        </w:rPr>
        <w:br/>
        <w:t>z dokumentów rejestracyjnych firmy.</w:t>
      </w:r>
    </w:p>
    <w:p w14:paraId="36873B8E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t>Informacje stanowiące podstawę przyznania punktów w kryteriach oceny ofert nie podlegają uzupełnieniu ani zmianie po upływie terminu składania ofert w zakresie prowadzącym do przyznania dodatkowych punktów. Nie wyłącza to prawa Zamawiającego do żądania wyjaśnień ani uzupełnienia dokumentów składanych na potwierdzenie spełn</w:t>
      </w:r>
      <w:r>
        <w:rPr>
          <w:rFonts w:eastAsia="Times New Roman"/>
        </w:rPr>
        <w:t>iania warunków udziału w postępowaniu, o ile uzupełnienie nie prowadzi do zmiany punktacji oferty.</w:t>
      </w:r>
    </w:p>
    <w:p w14:paraId="7D047C44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b/>
        </w:rPr>
      </w:pPr>
      <w:r>
        <w:rPr>
          <w:rFonts w:eastAsia="Times New Roman"/>
        </w:rPr>
        <w:t>Brak dokumentów lub brak informacji wymaganych wyłącznie do przyznania punktów w danym kryterium oceny oferty spowoduje przyznanie 0 pkt w tym kryterium, chyba że Zamawiający zastrzegł, że oferta w takim wypadku podlega odrzuceniu. Jeżeli brak dokumentów lub informacji dotyczy jednocześnie potwierdzenia spełniania warunku udziału w postępowaniu, zastosowanie mają postanowienia dotyczące badania spełniania waru</w:t>
      </w:r>
      <w:r>
        <w:rPr>
          <w:rFonts w:eastAsia="Times New Roman"/>
        </w:rPr>
        <w:t>nków udziału w postępowaniu oraz odrzucenia oferty Wykonawcy niespełniającego tych warunków.</w:t>
      </w:r>
    </w:p>
    <w:p w14:paraId="30203A0F" w14:textId="77777777" w:rsidR="009F0437" w:rsidRDefault="009F0437">
      <w:pPr>
        <w:spacing w:after="0" w:line="240" w:lineRule="auto"/>
        <w:jc w:val="both"/>
        <w:rPr>
          <w:rFonts w:cs="Times New Roman"/>
          <w:b/>
        </w:rPr>
      </w:pPr>
    </w:p>
    <w:p w14:paraId="5F6026F1" w14:textId="77777777" w:rsidR="009F0437" w:rsidRDefault="009F0437">
      <w:pPr>
        <w:pStyle w:val="ListParagraph"/>
        <w:numPr>
          <w:ilvl w:val="0"/>
          <w:numId w:val="4"/>
        </w:numPr>
        <w:shd w:val="clear" w:color="auto" w:fill="FFFFFF"/>
        <w:spacing w:after="0" w:line="240" w:lineRule="atLeast"/>
        <w:ind w:left="426" w:hanging="426"/>
        <w:jc w:val="both"/>
        <w:rPr>
          <w:rFonts w:cs="Times New Roman"/>
          <w:b/>
        </w:rPr>
      </w:pPr>
      <w:r>
        <w:rPr>
          <w:rFonts w:eastAsia="Times New Roman" w:cs="Calibri"/>
          <w:b/>
          <w:bCs/>
        </w:rPr>
        <w:t xml:space="preserve">Termin związania ofertą </w:t>
      </w:r>
      <w:r>
        <w:rPr>
          <w:rFonts w:eastAsia="Times New Roman" w:cs="Calibri"/>
        </w:rPr>
        <w:t xml:space="preserve">– </w:t>
      </w:r>
      <w:r>
        <w:rPr>
          <w:rFonts w:eastAsia="Times New Roman" w:cs="Calibri"/>
          <w:b/>
          <w:bCs/>
        </w:rPr>
        <w:t>60 dni</w:t>
      </w:r>
      <w:r>
        <w:rPr>
          <w:rFonts w:eastAsia="Times New Roman" w:cs="Calibri"/>
        </w:rPr>
        <w:t xml:space="preserve"> od upływu terminu składania ofert. </w:t>
      </w:r>
    </w:p>
    <w:p w14:paraId="06C2CF0F" w14:textId="77777777" w:rsidR="009F0437" w:rsidRDefault="009F0437">
      <w:pPr>
        <w:spacing w:after="0" w:line="240" w:lineRule="auto"/>
        <w:jc w:val="both"/>
        <w:rPr>
          <w:rFonts w:cs="Times New Roman"/>
          <w:b/>
        </w:rPr>
      </w:pPr>
    </w:p>
    <w:p w14:paraId="7A8E2E50" w14:textId="77777777" w:rsidR="009F0437" w:rsidRDefault="009F04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5" w:hanging="425"/>
        <w:jc w:val="both"/>
        <w:rPr>
          <w:rFonts w:cs="Calibri"/>
        </w:rPr>
      </w:pPr>
      <w:r>
        <w:rPr>
          <w:rFonts w:eastAsia="Times New Roman" w:cs="Calibri"/>
          <w:b/>
          <w:bCs/>
        </w:rPr>
        <w:t xml:space="preserve">Przesłanki odrzucenia oferty. </w:t>
      </w:r>
      <w:r>
        <w:rPr>
          <w:rFonts w:cs="Calibri"/>
          <w:bCs/>
        </w:rPr>
        <w:t>Zamawiający odrzuci ofertę, jeżeli</w:t>
      </w:r>
      <w:r>
        <w:rPr>
          <w:rFonts w:eastAsia="Times New Roman" w:cs="Calibri"/>
        </w:rPr>
        <w:t>:</w:t>
      </w:r>
    </w:p>
    <w:p w14:paraId="3B93B849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jej treść lub sposób złożenia nie odpowiada treści Zapytania ofertowego, z tym zastrzeżeniem, że Zamawiający ma prawo poprawiać w ofercie oczywiste omyłki na zasadach określonych w Zapytaniu ofertowym;</w:t>
      </w:r>
    </w:p>
    <w:p w14:paraId="2D11A0DD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 xml:space="preserve">zawiera rażąco niską cenę w stosunku do przedmiotu zamówienia, z tym zastrzeżeniem, że </w:t>
      </w:r>
      <w:r>
        <w:rPr>
          <w:rFonts w:eastAsia="Times New Roman" w:cs="Calibri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</w:t>
      </w:r>
      <w:r>
        <w:rPr>
          <w:rFonts w:eastAsia="Times New Roman" w:cs="Calibri"/>
        </w:rPr>
        <w:t xml:space="preserve">eny lub kosztu. Zamawiający ocenia te wyjaśnienia w konsultacji z Wykonawcą </w:t>
      </w:r>
      <w:r>
        <w:rPr>
          <w:rFonts w:eastAsia="Times New Roman" w:cs="Calibri"/>
        </w:rPr>
        <w:br/>
        <w:t>i może odrzucić tę ofertę wyłącznie w przypadku, gdy złożone wyjaśnienia wraz z dowodami nie uzasadniają podanej ceny lub kosztu w tej ofercie.</w:t>
      </w:r>
    </w:p>
    <w:p w14:paraId="1854F7AF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została złożona po terminie składania ofert;</w:t>
      </w:r>
    </w:p>
    <w:p w14:paraId="0EAEAD4C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została złożona przez Wykonawcę podlegającego wykluczeniu z postępowania lub niespełniającego warunków udziału w postępowaniu;</w:t>
      </w:r>
    </w:p>
    <w:p w14:paraId="5E3B0357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jest nieważna na podstawie odrębnych przepisów;</w:t>
      </w:r>
    </w:p>
    <w:p w14:paraId="18FC0C6E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 xml:space="preserve">została złożona w warunkach czynu nieuczciwej konkurencji w rozumieniu ustawy z dnia </w:t>
      </w:r>
      <w:r>
        <w:rPr>
          <w:rFonts w:cs="Calibri"/>
        </w:rPr>
        <w:br/>
        <w:t>16 kwietnia 1993 r. o zwalczaniu nieuczciwej konkurencji;</w:t>
      </w:r>
    </w:p>
    <w:p w14:paraId="18759A0D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zawiera błędy w obliczeniu ceny;</w:t>
      </w:r>
    </w:p>
    <w:p w14:paraId="72A3A023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3"/>
        <w:jc w:val="both"/>
        <w:rPr>
          <w:rFonts w:eastAsia="Times New Roman" w:cs="Times New Roman"/>
        </w:rPr>
      </w:pPr>
      <w:r>
        <w:rPr>
          <w:rFonts w:cs="Calibri"/>
        </w:rPr>
        <w:t>Wykonawca nie wyrazi zgody na przedłużenie terminu związania ofertą lub na wybór jego oferty po upływie tego terminu.</w:t>
      </w:r>
    </w:p>
    <w:p w14:paraId="0A43607F" w14:textId="77777777" w:rsidR="009F0437" w:rsidRDefault="009F0437">
      <w:pPr>
        <w:spacing w:after="0" w:line="240" w:lineRule="auto"/>
        <w:jc w:val="both"/>
        <w:rPr>
          <w:rFonts w:eastAsia="Times New Roman" w:cs="Times New Roman"/>
        </w:rPr>
      </w:pPr>
    </w:p>
    <w:p w14:paraId="55D98C53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cs="Calibri"/>
          <w:b/>
        </w:rPr>
      </w:pPr>
      <w:r>
        <w:rPr>
          <w:b/>
          <w:bCs/>
        </w:rPr>
        <w:t>Termin i sposób składania ofert:</w:t>
      </w:r>
    </w:p>
    <w:p w14:paraId="15E9421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4"/>
        <w:rPr>
          <w:rFonts w:cs="Calibri"/>
          <w:b/>
          <w:bCs/>
          <w:spacing w:val="-2"/>
        </w:rPr>
      </w:pPr>
      <w:r>
        <w:rPr>
          <w:rFonts w:cs="Calibri"/>
          <w:b/>
        </w:rPr>
        <w:t xml:space="preserve">Ofertę oraz pytania należy składać za pomocą Bazy Konkurencyjności: </w:t>
      </w:r>
      <w:r>
        <w:rPr>
          <w:rFonts w:cs="Calibri"/>
        </w:rPr>
        <w:t>(</w:t>
      </w:r>
      <w:hyperlink r:id="rId10" w:history="1">
        <w:r>
          <w:rPr>
            <w:rStyle w:val="Hipercze"/>
          </w:rPr>
          <w:t>https://bazakonkurencyjn</w:t>
        </w:r>
        <w:r>
          <w:rPr>
            <w:rStyle w:val="Hipercze"/>
            <w:rFonts w:cs="Calibri"/>
            <w:bCs/>
            <w:lang w:eastAsia="en-US"/>
          </w:rPr>
          <w:t>osci.funduszeeuropejskie.gov.pl</w:t>
        </w:r>
      </w:hyperlink>
      <w:r>
        <w:rPr>
          <w:rFonts w:cs="Calibri"/>
          <w:bCs/>
          <w:color w:val="000000"/>
          <w:lang w:eastAsia="en-US"/>
        </w:rPr>
        <w:t xml:space="preserve">) </w:t>
      </w:r>
    </w:p>
    <w:p w14:paraId="30994273" w14:textId="77777777" w:rsidR="009F0437" w:rsidRDefault="009F0437">
      <w:pPr>
        <w:pStyle w:val="ListParagraph"/>
        <w:spacing w:after="0" w:line="240" w:lineRule="auto"/>
        <w:ind w:left="709"/>
        <w:rPr>
          <w:rFonts w:cs="Calibri"/>
        </w:rPr>
      </w:pPr>
      <w:r>
        <w:rPr>
          <w:rFonts w:cs="Calibri"/>
          <w:b/>
          <w:bCs/>
          <w:spacing w:val="-2"/>
        </w:rPr>
        <w:t>w terminie do dnia 22.06.2026 r.</w:t>
      </w:r>
    </w:p>
    <w:p w14:paraId="0297044E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tLeast"/>
        <w:ind w:left="709" w:hanging="283"/>
        <w:jc w:val="both"/>
        <w:rPr>
          <w:rFonts w:cs="Calibri"/>
          <w:spacing w:val="-2"/>
        </w:rPr>
      </w:pPr>
      <w:r>
        <w:rPr>
          <w:rFonts w:cs="Calibri"/>
        </w:rPr>
        <w:lastRenderedPageBreak/>
        <w:t>Zamawiający dopuszcza składanie dokumentów w formie skanów podpisanych dokumentów składających się na ofertę lub składanie tych dokumentów w formie elektronicznej opatrzonej kwalifikowanym podpisem elektronicznym lub podpisem zaufanym lub podpisem osobistym.</w:t>
      </w:r>
    </w:p>
    <w:p w14:paraId="768CE59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tLeast"/>
        <w:ind w:left="709" w:hanging="283"/>
        <w:jc w:val="both"/>
        <w:rPr>
          <w:rFonts w:eastAsia="Times New Roman" w:cs="Calibri"/>
          <w:b/>
          <w:bCs/>
        </w:rPr>
      </w:pPr>
      <w:r>
        <w:rPr>
          <w:rFonts w:cs="Calibri"/>
          <w:spacing w:val="-2"/>
        </w:rPr>
        <w:t>Odstąpienie od komunikacji określonej w pkt 1 jest dopuszczalne w zakresie, w jakim nie jest możliwe dotrzymanie sposobu komunikacji w BK2021. Wszelkie inne oświadczenia, wnioski, zawiadomienia lub informacje, których nie można przesłać za pośrednictwem Bazy Konkurencyjności</w:t>
      </w:r>
      <w:r>
        <w:rPr>
          <w:rFonts w:cs="Calibri"/>
        </w:rPr>
        <w:t xml:space="preserve">, powinny być przesłane za pomocą poczty elektronicznej na adres e-mail: </w:t>
      </w:r>
      <w:hyperlink r:id="rId11" w:history="1">
        <w:r>
          <w:rPr>
            <w:rStyle w:val="Hipercze"/>
            <w:rFonts w:cs="Calibri"/>
          </w:rPr>
          <w:t>zamowienia@fnp.org.pl</w:t>
        </w:r>
      </w:hyperlink>
    </w:p>
    <w:p w14:paraId="16510072" w14:textId="77777777" w:rsidR="009F0437" w:rsidRDefault="009F0437">
      <w:pPr>
        <w:pStyle w:val="ListParagraph"/>
        <w:spacing w:after="0" w:line="240" w:lineRule="atLeast"/>
        <w:ind w:left="709"/>
        <w:jc w:val="both"/>
        <w:rPr>
          <w:rFonts w:eastAsia="Times New Roman" w:cs="Calibri"/>
          <w:b/>
          <w:bCs/>
        </w:rPr>
      </w:pPr>
    </w:p>
    <w:p w14:paraId="3C8AC226" w14:textId="77777777" w:rsidR="009F0437" w:rsidRDefault="009F0437">
      <w:pPr>
        <w:pStyle w:val="ListParagraph"/>
        <w:numPr>
          <w:ilvl w:val="0"/>
          <w:numId w:val="4"/>
        </w:numPr>
        <w:shd w:val="clear" w:color="auto" w:fill="FFFFFF"/>
        <w:spacing w:after="0" w:line="240" w:lineRule="atLeast"/>
        <w:ind w:left="426" w:hanging="426"/>
        <w:rPr>
          <w:b/>
          <w:bCs/>
        </w:rPr>
      </w:pPr>
      <w:r>
        <w:rPr>
          <w:rFonts w:eastAsia="Times New Roman"/>
          <w:b/>
          <w:bCs/>
        </w:rPr>
        <w:t>Kontakt z Zamawiającym:</w:t>
      </w:r>
    </w:p>
    <w:p w14:paraId="3246F024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tLeast"/>
        <w:ind w:left="709" w:hanging="283"/>
        <w:jc w:val="both"/>
        <w:rPr>
          <w:rFonts w:eastAsia="Times New Roman" w:cs="Calibri"/>
        </w:rPr>
      </w:pPr>
      <w:r>
        <w:rPr>
          <w:b/>
          <w:bCs/>
        </w:rPr>
        <w:t xml:space="preserve">Osoby do kontaktu w sprawach dotyczących niniejszego Zapytania ofertowego: </w:t>
      </w:r>
      <w:r>
        <w:t xml:space="preserve">sprawy formalne: </w:t>
      </w:r>
      <w:r>
        <w:rPr>
          <w:rFonts w:cs="Times New Roman"/>
        </w:rPr>
        <w:t xml:space="preserve">Andrzej Czajka, e-mail: </w:t>
      </w:r>
      <w:hyperlink r:id="rId12" w:history="1">
        <w:r>
          <w:rPr>
            <w:rStyle w:val="Hipercze"/>
            <w:rFonts w:cs="Times New Roman"/>
          </w:rPr>
          <w:t>czajka@fnp.org.pl</w:t>
        </w:r>
      </w:hyperlink>
      <w:r>
        <w:rPr>
          <w:rFonts w:cs="Times New Roman"/>
        </w:rPr>
        <w:t xml:space="preserve"> tel. 691-810-146</w:t>
      </w:r>
      <w:r>
        <w:t xml:space="preserve">, </w:t>
      </w:r>
      <w:r>
        <w:rPr>
          <w:rFonts w:cs="Times New Roman"/>
        </w:rPr>
        <w:t>pon. – pt. w godz. 7:00-15:00</w:t>
      </w:r>
      <w:r>
        <w:t>.</w:t>
      </w:r>
    </w:p>
    <w:p w14:paraId="667761BA" w14:textId="77777777" w:rsidR="009F0437" w:rsidRDefault="009F043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09" w:hanging="284"/>
        <w:jc w:val="both"/>
        <w:rPr>
          <w:rFonts w:eastAsia="Times New Roman" w:cs="Calibri"/>
          <w:b/>
          <w:bCs/>
          <w:sz w:val="8"/>
          <w:szCs w:val="8"/>
        </w:rPr>
      </w:pPr>
      <w:r>
        <w:rPr>
          <w:rFonts w:eastAsia="Times New Roman" w:cs="Calibri"/>
        </w:rPr>
        <w:t>Wykonawca w ofercie wskaże Zamawiającemu osobę odpowiedzialną za obsługę całości zamówienia i poda dane kontaktowe tej osoby (lub osoby zastępującej). Zamawiający będzie uzgadniał z tą osobą najważniejsze kwestie związane z zamówieniem i jakością świadczonych usług.</w:t>
      </w:r>
    </w:p>
    <w:p w14:paraId="0CED15CF" w14:textId="77777777" w:rsidR="009F0437" w:rsidRDefault="009F0437">
      <w:pPr>
        <w:shd w:val="clear" w:color="auto" w:fill="FFFFFF"/>
        <w:spacing w:after="0" w:line="240" w:lineRule="auto"/>
        <w:ind w:left="425"/>
        <w:jc w:val="both"/>
        <w:rPr>
          <w:rFonts w:eastAsia="Times New Roman" w:cs="Calibri"/>
          <w:b/>
          <w:bCs/>
          <w:sz w:val="8"/>
          <w:szCs w:val="8"/>
        </w:rPr>
      </w:pPr>
    </w:p>
    <w:p w14:paraId="7E6A55A0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uto"/>
        <w:ind w:left="425" w:hanging="425"/>
        <w:jc w:val="both"/>
        <w:rPr>
          <w:rFonts w:cs="Calibri"/>
        </w:rPr>
      </w:pPr>
      <w:r>
        <w:rPr>
          <w:rFonts w:cs="Calibri"/>
          <w:b/>
          <w:bCs/>
        </w:rPr>
        <w:t>Unieważnienie postępowania:</w:t>
      </w:r>
    </w:p>
    <w:p w14:paraId="5063DA81" w14:textId="77777777" w:rsidR="009F0437" w:rsidRDefault="009F0437">
      <w:pPr>
        <w:numPr>
          <w:ilvl w:val="2"/>
          <w:numId w:val="5"/>
        </w:numPr>
        <w:spacing w:after="0" w:line="240" w:lineRule="auto"/>
        <w:ind w:left="709" w:hanging="283"/>
        <w:contextualSpacing/>
        <w:jc w:val="both"/>
        <w:rPr>
          <w:rFonts w:cs="Calibri"/>
          <w:color w:val="000000"/>
        </w:rPr>
      </w:pPr>
      <w:r>
        <w:rPr>
          <w:rFonts w:cs="Calibri"/>
        </w:rPr>
        <w:t xml:space="preserve">Zamawiający zastrzega sobie prawo do unieważnienia postępowania na każdym jego etapie </w:t>
      </w:r>
      <w:r>
        <w:rPr>
          <w:rFonts w:cs="Calibri"/>
        </w:rPr>
        <w:br/>
        <w:t>z ważnej przyczyny.</w:t>
      </w:r>
    </w:p>
    <w:p w14:paraId="21C2589D" w14:textId="77777777" w:rsidR="009F0437" w:rsidRDefault="009F0437">
      <w:pPr>
        <w:numPr>
          <w:ilvl w:val="2"/>
          <w:numId w:val="5"/>
        </w:numPr>
        <w:spacing w:after="0" w:line="240" w:lineRule="auto"/>
        <w:ind w:left="709" w:hanging="283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unieważni postępowanie o udzielenie zamówienia w szczególności, gdy:</w:t>
      </w:r>
    </w:p>
    <w:p w14:paraId="37CE3908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</w:pPr>
      <w:r>
        <w:rPr>
          <w:rFonts w:cs="Calibri"/>
          <w:color w:val="000000"/>
        </w:rPr>
        <w:t>nie zostanie złożona żadna oferta;</w:t>
      </w:r>
    </w:p>
    <w:p w14:paraId="7D6EB202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eastAsia="Times New Roman" w:cs="Times New Roman"/>
          <w:color w:val="000000"/>
        </w:rPr>
      </w:pPr>
      <w:r>
        <w:t>wszystkie złożone oferty podlegają odrzuceniu;</w:t>
      </w:r>
    </w:p>
    <w:p w14:paraId="1AAFE938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</w:pPr>
      <w:r>
        <w:rPr>
          <w:rFonts w:eastAsia="Times New Roman" w:cs="Times New Roman"/>
          <w:color w:val="000000"/>
        </w:rPr>
        <w:t xml:space="preserve">cena najkorzystniejszej oferty przewyższa kwotę, którą Zamawiający zamierza przeznaczyć na sfinansowanie zamówienia, </w:t>
      </w:r>
      <w:r>
        <w:t>chyba że Zamawiający może zwiększyć tę kwotę do ceny najkorzystniejszej oferty;</w:t>
      </w:r>
    </w:p>
    <w:p w14:paraId="6992D1CC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</w:pPr>
      <w:r>
        <w:t>zostały złożone oferty dodatkowe o takiej samej cenie;</w:t>
      </w:r>
    </w:p>
    <w:p w14:paraId="408771C0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</w:pPr>
      <w:r>
        <w:t>wystąpiła istotna zmiana okoliczności powodująca, że prowadzenie postępowania lub wykonanie zamówienia nie leży w interesie publicznym, czego nie można było wcześniej przewidzieć;</w:t>
      </w:r>
    </w:p>
    <w:p w14:paraId="2723A925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</w:pPr>
      <w:r>
        <w:t>postępowanie obarczone jest niemożliwą do usunięcia wadą;</w:t>
      </w:r>
    </w:p>
    <w:p w14:paraId="1E1CB47B" w14:textId="77777777" w:rsidR="009F0437" w:rsidRDefault="009F043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cs="Calibri"/>
        </w:rPr>
      </w:pPr>
      <w:r>
        <w:t xml:space="preserve">Wykonawca </w:t>
      </w:r>
      <w:r>
        <w:rPr>
          <w:rFonts w:cs="Calibri"/>
        </w:rPr>
        <w:t xml:space="preserve">uchylił się od zawarcia umowy w sprawie zamówienia publicznego, </w:t>
      </w:r>
      <w:r>
        <w:rPr>
          <w:rFonts w:cs="Calibri"/>
        </w:rPr>
        <w:br/>
        <w:t>z uwzględnieniem Dz. XII ust. 3,</w:t>
      </w:r>
    </w:p>
    <w:p w14:paraId="4E448376" w14:textId="77777777" w:rsidR="009F0437" w:rsidRDefault="009F0437">
      <w:pPr>
        <w:numPr>
          <w:ilvl w:val="0"/>
          <w:numId w:val="6"/>
        </w:numPr>
        <w:spacing w:after="0" w:line="240" w:lineRule="auto"/>
        <w:ind w:left="993"/>
        <w:jc w:val="both"/>
        <w:rPr>
          <w:rFonts w:cs="Calibri"/>
        </w:rPr>
      </w:pPr>
      <w:r>
        <w:rPr>
          <w:rFonts w:cs="Calibri"/>
        </w:rPr>
        <w:t>jeżeli wystąpiły okoliczności powodujące, że dalsze prowadzenie postępowania jest nieuzasadnione,</w:t>
      </w:r>
    </w:p>
    <w:p w14:paraId="35742939" w14:textId="77777777" w:rsidR="009F0437" w:rsidRDefault="009F0437">
      <w:pPr>
        <w:numPr>
          <w:ilvl w:val="0"/>
          <w:numId w:val="6"/>
        </w:numPr>
        <w:spacing w:after="0" w:line="240" w:lineRule="auto"/>
        <w:ind w:left="993"/>
        <w:jc w:val="both"/>
        <w:rPr>
          <w:rFonts w:cs="Calibri"/>
          <w:color w:val="000000"/>
        </w:rPr>
      </w:pPr>
      <w:r>
        <w:rPr>
          <w:rFonts w:cs="Calibri"/>
        </w:rPr>
        <w:t xml:space="preserve">w przypadku nieprzyznania lub cofnięcia przyznanych środków na sfinansowanie zamówienia, które Zamawiający zamierzał w całości lub części przeznaczyć na sfinansowanie zamówienia. </w:t>
      </w:r>
    </w:p>
    <w:p w14:paraId="445E4400" w14:textId="77777777" w:rsidR="009F0437" w:rsidRDefault="009F0437">
      <w:pPr>
        <w:numPr>
          <w:ilvl w:val="2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</w:rPr>
      </w:pPr>
      <w:r>
        <w:rPr>
          <w:rFonts w:cs="Calibri"/>
          <w:color w:val="000000"/>
        </w:rPr>
        <w:t xml:space="preserve">W przypadku unieważnienia postępowania, Zamawiający nie jest zobowiązany do zwrotu jakichkolwiek kosztów poniesionych przez Wykonawców w związku ze złożoną ofertą. Wykonawcom nie przysługują jakiekolwiek roszczenia względem Zamawiającego w związku </w:t>
      </w:r>
      <w:r>
        <w:rPr>
          <w:rFonts w:cs="Calibri"/>
          <w:color w:val="000000"/>
        </w:rPr>
        <w:br/>
        <w:t>z unieważnieniem postępowania.</w:t>
      </w:r>
    </w:p>
    <w:p w14:paraId="6F639B19" w14:textId="77777777" w:rsidR="009F0437" w:rsidRDefault="009F0437">
      <w:pPr>
        <w:spacing w:after="0" w:line="240" w:lineRule="auto"/>
        <w:jc w:val="both"/>
        <w:rPr>
          <w:rFonts w:eastAsia="Times New Roman" w:cs="Times New Roman"/>
        </w:rPr>
      </w:pPr>
    </w:p>
    <w:p w14:paraId="5B420BE3" w14:textId="77777777" w:rsidR="009F0437" w:rsidRDefault="009F043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Times New Roman"/>
          <w:b/>
          <w:bCs/>
        </w:rPr>
        <w:t>Pozostałe informacje:</w:t>
      </w:r>
    </w:p>
    <w:p w14:paraId="0FCEDC6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Calibri"/>
          <w:bCs/>
        </w:rPr>
      </w:pPr>
      <w:r>
        <w:rPr>
          <w:rFonts w:cs="Calibri"/>
        </w:rPr>
        <w:t xml:space="preserve">Zamawiający może w toku badania i oceny ofert żądać od Wykonawców wyjaśnień dotyczących treści złożonych ofert lub treści złożonych oświadczeń lub dokumentów, </w:t>
      </w:r>
      <w:r>
        <w:rPr>
          <w:rFonts w:cs="Calibri"/>
        </w:rPr>
        <w:br/>
        <w:t xml:space="preserve">a także zażądać uzupełnienia oświadczeń lub dokumentów, jeżeli oświadczenia lub </w:t>
      </w:r>
      <w:r>
        <w:rPr>
          <w:rFonts w:cs="Calibri"/>
        </w:rPr>
        <w:lastRenderedPageBreak/>
        <w:t xml:space="preserve">dokumenty są niekompletne, zawierają błędy lub budzą wskazane przez Zamawiającego wątpliwości. Zamawiający wzywa do ich złożenia, uzupełnienia, poprawienia lub do udzielenia wyjaśnień </w:t>
      </w:r>
      <w:r>
        <w:rPr>
          <w:rFonts w:cs="Calibri"/>
        </w:rPr>
        <w:br/>
        <w:t>w terminie przez siebie wskazanym, chyba że mimo ich złożenia, uzupełnienia, poprawienia lub udzielenia wyjaśnień, oferta Wykonawcy podlega odrzuceniu albo konieczne byłoby unieważnienie postępowania. Zamawiający może samodzielnie uzupełnić braku</w:t>
      </w:r>
      <w:r>
        <w:rPr>
          <w:rFonts w:cs="Calibri"/>
        </w:rPr>
        <w:t>jące oświadczenia lub dokumenty, jeżeli jest w ich posiadaniu lub może je uzyskać za pomocą bezpłatnych i ogólnodostępnych baz danych w szczególności rejestrów publicznych.</w:t>
      </w:r>
    </w:p>
    <w:p w14:paraId="0DEA4C90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cs="Calibri"/>
          <w:bCs/>
        </w:rPr>
      </w:pPr>
      <w:r>
        <w:rPr>
          <w:rFonts w:cs="Calibri"/>
          <w:bCs/>
        </w:rPr>
        <w:t>Zamawiający poprawia w ofercie:</w:t>
      </w:r>
    </w:p>
    <w:p w14:paraId="7087EE6D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Calibri"/>
          <w:bCs/>
        </w:rPr>
      </w:pPr>
      <w:r>
        <w:rPr>
          <w:rFonts w:cs="Calibri"/>
          <w:bCs/>
        </w:rPr>
        <w:t>oczywiste omyłki pisarskie,</w:t>
      </w:r>
    </w:p>
    <w:p w14:paraId="29D2BBB1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Calibri"/>
          <w:bCs/>
        </w:rPr>
      </w:pPr>
      <w:r>
        <w:rPr>
          <w:rFonts w:cs="Calibri"/>
          <w:bCs/>
        </w:rPr>
        <w:t>oczywiste omyłki rachunkowe, z uwzględnieniem konsekwencji rachunkowych dokonanych poprawek,</w:t>
      </w:r>
    </w:p>
    <w:p w14:paraId="147744F4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993" w:hanging="284"/>
        <w:jc w:val="both"/>
        <w:rPr>
          <w:rFonts w:cs="Calibri"/>
          <w:bCs/>
        </w:rPr>
      </w:pPr>
      <w:r>
        <w:rPr>
          <w:rFonts w:cs="Calibri"/>
          <w:bCs/>
        </w:rPr>
        <w:t>inne omyłki polegające na niezgodności oferty z dokumentami zamówienia, niepowodujące istotnych zmian w treści oferty</w:t>
      </w:r>
    </w:p>
    <w:p w14:paraId="3E9CFB57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cs="Calibri"/>
          <w:bCs/>
        </w:rPr>
      </w:pPr>
      <w:r>
        <w:rPr>
          <w:rFonts w:cs="Calibri"/>
          <w:bCs/>
        </w:rPr>
        <w:t>- niezwłocznie zawiadamiając o tym Wykonawcę, którego oferta została poprawiona.</w:t>
      </w:r>
    </w:p>
    <w:p w14:paraId="27630303" w14:textId="77777777" w:rsidR="009F0437" w:rsidRDefault="009F0437">
      <w:pPr>
        <w:pStyle w:val="ListParagraph"/>
        <w:spacing w:after="0" w:line="240" w:lineRule="auto"/>
        <w:ind w:left="709"/>
        <w:jc w:val="both"/>
        <w:rPr>
          <w:rFonts w:cs="Calibri"/>
          <w:b/>
          <w:bCs/>
        </w:rPr>
      </w:pPr>
      <w:r>
        <w:rPr>
          <w:rFonts w:cs="Calibri"/>
          <w:bCs/>
        </w:rPr>
        <w:t xml:space="preserve">W przypadku poprawienia innej omyłki (pkt 3), Zamawiający wyznacza Wykonawcy odpowiedni termin na wyrażenie zgody na poprawienie w ofercie omyłki lub zakwestionowanie jej poprawienia. </w:t>
      </w:r>
      <w:r>
        <w:rPr>
          <w:rFonts w:cs="Calibri"/>
        </w:rPr>
        <w:t xml:space="preserve">Jeżeli Wykonawca w wyznaczonym terminie zakwestionuje poprawienie omyłki, jego oferta zostanie odrzucona. </w:t>
      </w:r>
      <w:r>
        <w:rPr>
          <w:rFonts w:cs="Calibri"/>
          <w:bCs/>
        </w:rPr>
        <w:t>Brak odpowiedzi w wyznaczonym terminie uznaje się za wyrażenie zgody na poprawienie omyłki.</w:t>
      </w:r>
    </w:p>
    <w:p w14:paraId="1C774BBB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  <w:b/>
          <w:bCs/>
        </w:rPr>
        <w:t>Informacja na temat zakazu konfliktu interesów:</w:t>
      </w:r>
    </w:p>
    <w:p w14:paraId="27A0FCE8" w14:textId="77777777" w:rsidR="009F0437" w:rsidRDefault="009F0437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 xml:space="preserve">W celu uniknięcia konfliktu interesów zamówienie nie może być udzielone podmiotom powiązanym z Zamawiającym osobowo lub kapitałowo. W związku z tym czynności związane </w:t>
      </w:r>
      <w:r>
        <w:rPr>
          <w:rFonts w:cs="Calibri"/>
        </w:rPr>
        <w:br/>
        <w:t>z przygotowaniem oraz przeprowadzeniem postępowania o udzielenie zamówienia wykonują osoby zapewniające bezstronność i obiektywizm. Osoby te składają oświadczenie o braku istnienia albo braku wpływu powiązań osobowych lub kapitałowych z Wykonawcami na bezstronność postępowania.</w:t>
      </w:r>
    </w:p>
    <w:p w14:paraId="66131E0E" w14:textId="77777777" w:rsidR="009F0437" w:rsidRDefault="009F0437">
      <w:pPr>
        <w:spacing w:after="0" w:line="240" w:lineRule="auto"/>
        <w:ind w:left="709"/>
        <w:contextualSpacing/>
        <w:jc w:val="both"/>
        <w:rPr>
          <w:rFonts w:eastAsia="Times New Roman" w:cs="Calibri"/>
        </w:rPr>
      </w:pPr>
      <w:r>
        <w:rPr>
          <w:rFonts w:cs="Calibri"/>
        </w:rPr>
        <w:t xml:space="preserve">Przez powiązania osobowe lub kapitałowe rozumie się powiązania osób biorących udział </w:t>
      </w:r>
      <w:r>
        <w:rPr>
          <w:rFonts w:cs="Calibri"/>
        </w:rPr>
        <w:br/>
        <w:t xml:space="preserve">w przygotowaniu lub prowadzeniu postępowania o udzielenie zamówienia z </w:t>
      </w:r>
      <w:r>
        <w:rPr>
          <w:rFonts w:eastAsia="Times New Roman" w:cs="Calibri"/>
        </w:rPr>
        <w:t>Wykonawcami, polegające na:</w:t>
      </w:r>
    </w:p>
    <w:p w14:paraId="0674EDC2" w14:textId="77777777" w:rsidR="009F0437" w:rsidRDefault="009F0437">
      <w:pPr>
        <w:pStyle w:val="ListParagraph"/>
        <w:numPr>
          <w:ilvl w:val="3"/>
          <w:numId w:val="8"/>
        </w:numPr>
        <w:spacing w:after="0" w:line="240" w:lineRule="auto"/>
        <w:ind w:left="1134" w:hanging="425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uczestniczeniu w spółce jako wspólnik spółki cywilnej lub spółki osobowej, </w:t>
      </w:r>
      <w:r>
        <w:rPr>
          <w:rFonts w:cs="Calibri"/>
        </w:rPr>
        <w:t>posiadaniu co najmniej 10% udziałów lub akcji, pełnieniu funkcji członka organu nadzorczego lub zarządzającego, prokurenta, pełnomocnika</w:t>
      </w:r>
      <w:r>
        <w:rPr>
          <w:rFonts w:eastAsia="Times New Roman" w:cs="Calibri"/>
        </w:rPr>
        <w:t>;</w:t>
      </w:r>
    </w:p>
    <w:p w14:paraId="4ED1E9D1" w14:textId="77777777" w:rsidR="009F0437" w:rsidRDefault="009F0437">
      <w:pPr>
        <w:numPr>
          <w:ilvl w:val="3"/>
          <w:numId w:val="8"/>
        </w:numPr>
        <w:spacing w:after="0" w:line="240" w:lineRule="auto"/>
        <w:ind w:left="1134" w:hanging="425"/>
        <w:contextualSpacing/>
        <w:jc w:val="both"/>
        <w:rPr>
          <w:rFonts w:cs="Calibri"/>
        </w:rPr>
      </w:pPr>
      <w:r>
        <w:rPr>
          <w:rFonts w:eastAsia="Times New Roman" w:cs="Calibri"/>
        </w:rPr>
        <w:t xml:space="preserve">pozostawaniu w związku małżeńskim, w stosunku pokrewieństwa lub powinowactwa </w:t>
      </w:r>
      <w:r>
        <w:rPr>
          <w:rFonts w:eastAsia="Times New Roman" w:cs="Calibri"/>
        </w:rPr>
        <w:br/>
        <w:t xml:space="preserve">w linii prostej, pokrewieństwa </w:t>
      </w:r>
      <w:r>
        <w:rPr>
          <w:rFonts w:cs="Calibri"/>
        </w:rPr>
        <w:t xml:space="preserve">lub powinowactwa w linii bocznej do </w:t>
      </w:r>
      <w:r>
        <w:rPr>
          <w:rFonts w:eastAsia="Times New Roman" w:cs="Calibri"/>
        </w:rPr>
        <w:t xml:space="preserve">drugiego stopnia, lub </w:t>
      </w:r>
      <w:r>
        <w:rPr>
          <w:rFonts w:cs="Calibri"/>
        </w:rPr>
        <w:t>związaniu z tytułu</w:t>
      </w:r>
      <w:r>
        <w:rPr>
          <w:rFonts w:eastAsia="Times New Roman" w:cs="Calibri"/>
        </w:rPr>
        <w:t xml:space="preserve"> przysposobienia, opieki lub kurateli </w:t>
      </w:r>
      <w:r>
        <w:rPr>
          <w:rFonts w:cs="Calibri"/>
        </w:rPr>
        <w:t>albo pozostawaniu we wspólnym pożyciu z wykonawcą, jego zastępcą prawnym lub członkami organów zarządzających lub organów nadzorczych wykonawców ubiegających się o udzielenie zamówienia</w:t>
      </w:r>
      <w:r>
        <w:rPr>
          <w:rFonts w:eastAsia="Times New Roman" w:cs="Calibri"/>
        </w:rPr>
        <w:t>;</w:t>
      </w:r>
    </w:p>
    <w:p w14:paraId="6603D58F" w14:textId="77777777" w:rsidR="009F0437" w:rsidRDefault="009F0437">
      <w:pPr>
        <w:numPr>
          <w:ilvl w:val="3"/>
          <w:numId w:val="8"/>
        </w:numPr>
        <w:spacing w:after="0" w:line="240" w:lineRule="auto"/>
        <w:ind w:left="1134" w:hanging="425"/>
        <w:contextualSpacing/>
        <w:jc w:val="both"/>
        <w:rPr>
          <w:rFonts w:cs="Calibri"/>
        </w:rPr>
      </w:pPr>
      <w:r>
        <w:rPr>
          <w:rFonts w:cs="Calibri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cs="Calibri"/>
        </w:rPr>
        <w:br/>
        <w:t>z postępowaniem o udzielenie zamówienia.</w:t>
      </w:r>
    </w:p>
    <w:p w14:paraId="3C24B899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</w:pPr>
      <w:r>
        <w:rPr>
          <w:rFonts w:cs="Calibri"/>
        </w:rPr>
        <w:t>Jeżeli wybrany Wykonawca uchyla się od zawarcia umowy, Zamawiający przed unieważnieniem postępowania na podstawie Dz. XI ust. 2 pkt 7 zbada, czy nie podlega wykluczeniu oraz czy spełnia warunki udziału w postępowaniu Wykonawca, który złożył ofertę najwyżej ocenioną spośród pozostałych ofert, a po potwierdzeniu powyższego zawrze z tym Wykonawcą umowę.</w:t>
      </w:r>
    </w:p>
    <w:p w14:paraId="67CAA3C4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</w:pPr>
      <w:r>
        <w:t xml:space="preserve">Wykonawcy mogą wspólnie ubiegać się o udzielenie zamówienia publicznego (konsorcjum). Wykonawcy, którzy wspólnie ubiegają się o zamówienie powinni ustanowić pełnomocnika (Lidera) do reprezentowania ich w postępowaniu o udzielenie zamówienia albo reprezentowania ich w postępowaniu i zawarcia umowy. W takim przypadku do oferty należy </w:t>
      </w:r>
      <w:r>
        <w:lastRenderedPageBreak/>
        <w:t xml:space="preserve">załączyć dokument (skan) potwierdzający ustanowienie pełnomocnika (Lidera) konsorcjum. Pełnomocnictwo musi zawierać pełną nazwę wszystkich uczestników konsorcjum oraz musi być podpisane przez wszystkich uczestników udzielających pełnomocnictwa, zgodnie </w:t>
      </w:r>
      <w:r>
        <w:br/>
        <w:t xml:space="preserve">z zasadami reprezentacji. </w:t>
      </w:r>
      <w:r>
        <w:rPr>
          <w:rFonts w:cs="Calibri"/>
          <w:kern w:val="2"/>
        </w:rPr>
        <w:t xml:space="preserve">Jeżeli zostanie wybrana oferta Wykonawców wspólnie ubiegających się o udzielenie zamówienia, </w:t>
      </w:r>
      <w:r>
        <w:rPr>
          <w:rFonts w:cs="Calibri"/>
          <w:b/>
          <w:kern w:val="2"/>
        </w:rPr>
        <w:t>Zamawiający zażąda przed zawarciem umowy w sprawie zamówienia publicznego kopii umowy regulującej współpracę tych Wykonawców</w:t>
      </w:r>
      <w:r>
        <w:rPr>
          <w:rFonts w:cs="Calibri"/>
          <w:kern w:val="2"/>
        </w:rPr>
        <w:t>.</w:t>
      </w:r>
    </w:p>
    <w:p w14:paraId="63F97C67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</w:pPr>
      <w:r>
        <w:t>Wykonawca moż</w:t>
      </w:r>
      <w:r>
        <w:t>e zwrócić się do Zamawiającego z wnioskiem o wyjaśnienie treści Zapytania ofertowego. Zamawiający może wyjaśnić treść Zapytania ofertowego lub pozostawić taki wniosek bez rozpoznania.</w:t>
      </w:r>
    </w:p>
    <w:p w14:paraId="75267254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</w:pPr>
      <w:r>
        <w:t>Zapytanie ofertowe może być zmienione przed upływem terminu składania ofert przewidzianym w Zapytaniu ofertowym. Zamawiający zamieszcza wyjaśnienia lub zmiany treści Zapytania ofertowego zgodnie z trybem publikacji ogłoszenia. Zamawiający przedłuży termin składania ofert o czas niezbędny do wprowadzenia zmian w ofertach, jeżel</w:t>
      </w:r>
      <w:r>
        <w:t>i jest to konieczne z uwagi na zakres wprowadzonych zmian.</w:t>
      </w:r>
    </w:p>
    <w:p w14:paraId="5EFCE47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</w:pPr>
      <w:r>
        <w:t>Wykonawca może wprowadzać zmiany, poprawki, modyfikacje i uzupełnienia do złożonej oferty pod warunkiem, że Zamawiający otrzyma stosowne zawiadomienie o ich wprowadzeniu przed upływem terminu składania ofert, według takich samych zasad, jak składanie oferty.</w:t>
      </w:r>
    </w:p>
    <w:p w14:paraId="26D5B56C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/>
        </w:rPr>
      </w:pPr>
      <w:r>
        <w:t xml:space="preserve">Wykonawca ma prawo przed upływem terminu składania ofert wycofać swoją ofertę </w:t>
      </w:r>
      <w:r>
        <w:br/>
        <w:t>z postępowania pod warunkiem, że Zamawiający otrzyma stosowne zawiadomienie, według takich samych zasad, jak składanie oferty.</w:t>
      </w:r>
    </w:p>
    <w:p w14:paraId="6F9DC44D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</w:rPr>
      </w:pPr>
      <w:r>
        <w:rPr>
          <w:rFonts w:eastAsia="Times New Roman"/>
        </w:rPr>
        <w:t xml:space="preserve">Zamawiający nie ujawnia informacji stanowiących tajemnicę przedsiębiorstwa w rozumieniu przepisów ustawy z dnia 16 kwietnia 1993 r. o zwalczaniu nieuczciwej konkurencji (t.j.: Dz.U. z 2022 r. poz. 1233 z późn.zm.), jeżeli Wykonawca, wraz z przekazaniem takich informacji, </w:t>
      </w:r>
      <w:r>
        <w:rPr>
          <w:rFonts w:eastAsia="Times New Roman"/>
          <w:u w:val="single"/>
        </w:rPr>
        <w:t>zastrzegł</w:t>
      </w:r>
      <w:r>
        <w:rPr>
          <w:rFonts w:eastAsia="Times New Roman"/>
        </w:rPr>
        <w:t xml:space="preserve">, że nie mogą być one udostępniane oraz </w:t>
      </w:r>
      <w:r>
        <w:rPr>
          <w:rFonts w:eastAsia="Times New Roman"/>
          <w:u w:val="single"/>
        </w:rPr>
        <w:t>wykazał</w:t>
      </w:r>
      <w:r>
        <w:rPr>
          <w:rFonts w:eastAsia="Times New Roman"/>
        </w:rPr>
        <w:t>, że zastrzeżone informacje stanowią tajemnicę przedsiębiorstwa. W przypadku składania oferty zawierającej tajemnicę przedsiębiorstwa</w:t>
      </w:r>
      <w:r>
        <w:rPr>
          <w:color w:val="000000"/>
        </w:rPr>
        <w:t xml:space="preserve"> złożenie oferty powinno zostać dokonane w dwóch częściach opisanych jako „część jawna oferty” i „część tajna oferty”. Oferta złożona bez podziału na części jawną i tajną jest ofertą jawną. Wykonawca nie może zastrzec informacji o nazwach albo imionach </w:t>
      </w:r>
      <w:r>
        <w:rPr>
          <w:color w:val="000000"/>
        </w:rPr>
        <w:br/>
        <w:t>i nazwiskach oraz siedzibach lub miejscach prowadzonej działalności g</w:t>
      </w:r>
      <w:r>
        <w:rPr>
          <w:color w:val="000000"/>
        </w:rPr>
        <w:t>ospodarczej albo miejscach zamieszkania wykonawców, cenach lub kosztach zawartych w ofertach.</w:t>
      </w:r>
    </w:p>
    <w:p w14:paraId="1280B689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709" w:hanging="283"/>
        <w:jc w:val="both"/>
        <w:rPr>
          <w:color w:val="000000"/>
        </w:rPr>
      </w:pPr>
      <w:r>
        <w:rPr>
          <w:rFonts w:eastAsia="Times New Roman" w:cs="Calibri"/>
        </w:rPr>
        <w:t xml:space="preserve">Zastrzeżenia dot. rozstrzygnięcia postępowania powinny być wnoszone na adres: </w:t>
      </w:r>
      <w:hyperlink r:id="rId13" w:history="1">
        <w:r>
          <w:rPr>
            <w:rStyle w:val="ListLabel349"/>
          </w:rPr>
          <w:t>zamowienia@fnp.org.pl</w:t>
        </w:r>
      </w:hyperlink>
      <w:r>
        <w:rPr>
          <w:rFonts w:cs="Calibri"/>
        </w:rPr>
        <w:t xml:space="preserve">. Wykonawca w terminie 1 dnia roboczego od otrzymania powiadomienia o rozstrzygnięciu postępowania </w:t>
      </w:r>
      <w:r>
        <w:t>ma prawo do poinformowania Zamawiającego o dokonaniu przez Zamawiającego czynności sprzecznej z postanowieniami Wytycznych, zapisami Zapytania ofertowego lub przepisami prawa powszechnie obowiązującego. W wyniku wniesienia ww. zastrzeżeń, Zamawiający może zmienić swoje rozstrzygnięcie lub nie uwzględnić zastrzeżeń, informując o tym Wykonawcę, który złożył zastrzeżenia. Zamawiający ma pra</w:t>
      </w:r>
      <w:r>
        <w:t xml:space="preserve">wo nie rozpatrzyć zastrzeżeń, które wpłyną do Zamawiającego po terminie. </w:t>
      </w:r>
    </w:p>
    <w:p w14:paraId="6EE76348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</w:pPr>
      <w:r>
        <w:rPr>
          <w:color w:val="000000"/>
        </w:rPr>
        <w:t>Wykonawca ponosi wszelkie koszty związane z przygotowaniem i złożeniem oferty.</w:t>
      </w:r>
    </w:p>
    <w:p w14:paraId="3DD8C63B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eastAsia="Times New Roman"/>
        </w:rPr>
      </w:pPr>
      <w:r>
        <w:t xml:space="preserve">Wykonawcy nie są uprawnieni do występowania do Zamawiającego z jakimikolwiek roszczeniami w związku z Zapytaniem ofertowym i prowadzonym postępowaniem, w tym </w:t>
      </w:r>
      <w:r>
        <w:br/>
        <w:t>z tytułu poniesionych kosztów i szkód, w szczególności w przypadku unieważnienia postępowania przez Zamawiającego lub wyboru innego Wykonawcy.</w:t>
      </w:r>
    </w:p>
    <w:p w14:paraId="40398FB0" w14:textId="77777777" w:rsidR="009F0437" w:rsidRDefault="009F0437">
      <w:pPr>
        <w:pStyle w:val="ListParagraph"/>
        <w:numPr>
          <w:ilvl w:val="1"/>
          <w:numId w:val="4"/>
        </w:numPr>
        <w:spacing w:after="0" w:line="240" w:lineRule="auto"/>
        <w:ind w:left="851" w:hanging="425"/>
        <w:jc w:val="both"/>
        <w:rPr>
          <w:rFonts w:eastAsia="Times New Roman" w:cs="Calibri"/>
        </w:rPr>
      </w:pPr>
      <w:r>
        <w:rPr>
          <w:rFonts w:eastAsia="Times New Roman"/>
        </w:rPr>
        <w:t xml:space="preserve">Zgodnie z art. 13 ust. 1 i 2 </w:t>
      </w:r>
      <w: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br/>
        <w:t xml:space="preserve">z 04.05.2016, str. 1), </w:t>
      </w:r>
      <w:r>
        <w:rPr>
          <w:rFonts w:eastAsia="Times New Roman"/>
        </w:rPr>
        <w:t xml:space="preserve">dalej „RODO”, informuje się, że: (dotyczy Wykonawców będących </w:t>
      </w:r>
      <w:r>
        <w:rPr>
          <w:rFonts w:eastAsia="Times New Roman" w:cs="Calibri"/>
        </w:rPr>
        <w:t>osobami fizycznymi, w tym osobami fizycznymi prowadzącymi działalność gospodarczą):</w:t>
      </w:r>
    </w:p>
    <w:p w14:paraId="7B4A2CFF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1134" w:hanging="283"/>
        <w:jc w:val="both"/>
        <w:rPr>
          <w:rFonts w:eastAsia="Times New Roman" w:cs="Calibri"/>
        </w:rPr>
      </w:pPr>
      <w:r>
        <w:rPr>
          <w:rFonts w:eastAsia="Times New Roman" w:cs="Calibri"/>
        </w:rPr>
        <w:lastRenderedPageBreak/>
        <w:t>administratorem Pani/Pana danych o</w:t>
      </w:r>
      <w:r>
        <w:rPr>
          <w:rFonts w:eastAsia="Times New Roman" w:cs="Calibri"/>
        </w:rPr>
        <w:t xml:space="preserve">sobowych jest </w:t>
      </w:r>
      <w:r>
        <w:rPr>
          <w:rFonts w:eastAsia="Times New Roman" w:cs="Calibri"/>
          <w:i/>
        </w:rPr>
        <w:t xml:space="preserve">Fundacja na rzecz Nauki Polskiej, </w:t>
      </w:r>
      <w:r>
        <w:rPr>
          <w:rFonts w:eastAsia="Times New Roman" w:cs="Calibri"/>
          <w:i/>
        </w:rPr>
        <w:br/>
        <w:t>ul. I. Krasickiego 20/22, 02-611 Warszawa</w:t>
      </w:r>
      <w:r>
        <w:rPr>
          <w:rFonts w:cs="Calibri"/>
          <w:i/>
        </w:rPr>
        <w:t>;</w:t>
      </w:r>
    </w:p>
    <w:p w14:paraId="67AD3F93" w14:textId="77777777" w:rsidR="009F0437" w:rsidRDefault="009F0437">
      <w:pPr>
        <w:pStyle w:val="ListParagraph"/>
        <w:numPr>
          <w:ilvl w:val="2"/>
          <w:numId w:val="4"/>
        </w:numPr>
        <w:spacing w:after="0" w:line="240" w:lineRule="auto"/>
        <w:ind w:left="1134" w:hanging="283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Fundacja na rzecz Nauki Polskiej wyznaczyła Inspektora Ochrony Danych, we wszystkich sprawach związanych z przetwarzaniem danych osobowych oraz w sprawach dotyczących realizacji praw związanych z przetwarzaniem danych osobowych prosimy o kontakt pod wskazanym adresem </w:t>
      </w:r>
      <w:r>
        <w:rPr>
          <w:rFonts w:eastAsia="Times New Roman" w:cs="Calibri"/>
          <w:i/>
        </w:rPr>
        <w:t xml:space="preserve">email: </w:t>
      </w:r>
      <w:hyperlink r:id="rId14" w:history="1">
        <w:r>
          <w:rPr>
            <w:rStyle w:val="ListLabel350"/>
          </w:rPr>
          <w:t>iodo@fnp.org.pl</w:t>
        </w:r>
      </w:hyperlink>
      <w:r>
        <w:rPr>
          <w:rFonts w:eastAsia="Times New Roman" w:cs="Calibri"/>
        </w:rPr>
        <w:t>;</w:t>
      </w:r>
    </w:p>
    <w:p w14:paraId="7C6CDDDD" w14:textId="77777777" w:rsidR="009F0437" w:rsidRDefault="009F0437">
      <w:pPr>
        <w:numPr>
          <w:ilvl w:val="2"/>
          <w:numId w:val="4"/>
        </w:numPr>
        <w:shd w:val="clear" w:color="auto" w:fill="FFFFFF"/>
        <w:spacing w:after="0" w:line="240" w:lineRule="atLeast"/>
        <w:ind w:left="1134" w:hanging="28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Pani/Pana dane osobowe przetwarzane będą na podstawie art. 6 ust. 1 lit. b lub c</w:t>
      </w:r>
      <w:r>
        <w:rPr>
          <w:rFonts w:eastAsia="Times New Roman" w:cs="Calibri"/>
          <w:i/>
        </w:rPr>
        <w:t xml:space="preserve"> </w:t>
      </w:r>
      <w:r>
        <w:rPr>
          <w:rFonts w:eastAsia="Times New Roman" w:cs="Calibri"/>
        </w:rPr>
        <w:t xml:space="preserve">RODO w celu </w:t>
      </w:r>
      <w:r>
        <w:rPr>
          <w:rFonts w:cs="Calibri"/>
        </w:rPr>
        <w:t>związanym z niniejszym postępowaniem o udzielenie zamówienia publicznego oraz w związku z ewentualną realizacją przez Pana/Panią umowy o zamówienie publiczne;</w:t>
      </w:r>
    </w:p>
    <w:p w14:paraId="778863F6" w14:textId="77777777" w:rsidR="009F0437" w:rsidRDefault="009F0437">
      <w:pPr>
        <w:numPr>
          <w:ilvl w:val="2"/>
          <w:numId w:val="4"/>
        </w:numPr>
        <w:shd w:val="clear" w:color="auto" w:fill="FFFFFF"/>
        <w:spacing w:after="0" w:line="240" w:lineRule="atLeast"/>
        <w:ind w:left="1134" w:hanging="28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odbiorcami Pani/Pana danych osobowych będą osoby lub podmioty, którym udostępniona zostanie dokumentacja postępowania w oparciu o przepisy o dostępie do informacji publicznej;</w:t>
      </w:r>
    </w:p>
    <w:p w14:paraId="466FDE29" w14:textId="77777777" w:rsidR="009F0437" w:rsidRDefault="009F0437">
      <w:pPr>
        <w:numPr>
          <w:ilvl w:val="2"/>
          <w:numId w:val="4"/>
        </w:numPr>
        <w:shd w:val="clear" w:color="auto" w:fill="FFFFFF"/>
        <w:spacing w:after="0" w:line="240" w:lineRule="atLeast"/>
        <w:ind w:left="1134" w:hanging="28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Pani/Pana dane osobowe będą przechowywane, w okresie i na warunkach określonych </w:t>
      </w:r>
      <w:r>
        <w:rPr>
          <w:rFonts w:eastAsia="Times New Roman" w:cs="Calibri"/>
        </w:rPr>
        <w:br/>
        <w:t xml:space="preserve">w art. 140 Rozporządzenia Parlamentu Europejskiego i Rady UE nr 1303/2013 z dnia </w:t>
      </w:r>
      <w:r>
        <w:rPr>
          <w:rFonts w:eastAsia="Times New Roman" w:cs="Calibri"/>
        </w:rPr>
        <w:br/>
        <w:t>17 grudnia 2013 r. (Dz. Urz. UE L 347 z 20.12.2013 r., str. 320)</w:t>
      </w:r>
      <w:r>
        <w:rPr>
          <w:rStyle w:val="Odwoanieprzypisudolnego"/>
          <w:rFonts w:eastAsia="Times New Roman" w:cs="Calibri"/>
        </w:rPr>
        <w:footnoteReference w:id="1"/>
      </w:r>
      <w:r>
        <w:rPr>
          <w:rFonts w:eastAsia="Times New Roman" w:cs="Calibri"/>
        </w:rPr>
        <w:t xml:space="preserve">, a wobec Wykonawcy, </w:t>
      </w:r>
      <w:r>
        <w:rPr>
          <w:rFonts w:eastAsia="Times New Roman" w:cs="Calibri"/>
        </w:rPr>
        <w:br/>
        <w:t>z którym zostanie zawarta umowa o zamówienie publiczne – na czas obowiązywania umowy oraz na czas wymagany do rozliczenia umowy;</w:t>
      </w:r>
    </w:p>
    <w:p w14:paraId="4CAAA63B" w14:textId="77777777" w:rsidR="009F0437" w:rsidRDefault="009F0437">
      <w:pPr>
        <w:numPr>
          <w:ilvl w:val="2"/>
          <w:numId w:val="4"/>
        </w:numPr>
        <w:shd w:val="clear" w:color="auto" w:fill="FFFFFF"/>
        <w:spacing w:after="0" w:line="240" w:lineRule="atLeast"/>
        <w:ind w:left="1134" w:hanging="28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obowiązek podania przez Panią/Pana danych osobowych bezpośrednio Pani/Pana dotyczących jest wymogiem określonym w Wytycznych, związanym z udziałem </w:t>
      </w:r>
      <w:r>
        <w:rPr>
          <w:rFonts w:eastAsia="Times New Roman" w:cs="Calibri"/>
        </w:rPr>
        <w:br/>
        <w:t>w postępowaniu o udzielenie zamówienia publicznego;</w:t>
      </w:r>
    </w:p>
    <w:p w14:paraId="49B80F62" w14:textId="77777777" w:rsidR="009F0437" w:rsidRDefault="009F0437">
      <w:pPr>
        <w:numPr>
          <w:ilvl w:val="2"/>
          <w:numId w:val="4"/>
        </w:numPr>
        <w:shd w:val="clear" w:color="auto" w:fill="FFFFFF"/>
        <w:spacing w:after="0" w:line="240" w:lineRule="atLeast"/>
        <w:ind w:left="1134" w:hanging="28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w odniesieniu do Pani/Pana danych osobowych decyzje nie będą podejmowane w sposób zautomatyzowany, stosownie do art. 22 RODO, a dane nie będą profilowane;</w:t>
      </w:r>
    </w:p>
    <w:p w14:paraId="3532F64C" w14:textId="77777777" w:rsidR="009F0437" w:rsidRDefault="009F0437">
      <w:pPr>
        <w:numPr>
          <w:ilvl w:val="2"/>
          <w:numId w:val="4"/>
        </w:numPr>
        <w:shd w:val="clear" w:color="auto" w:fill="FFFFFF"/>
        <w:spacing w:after="0" w:line="240" w:lineRule="atLeast"/>
        <w:ind w:left="1134" w:hanging="283"/>
        <w:contextualSpacing/>
        <w:jc w:val="both"/>
        <w:rPr>
          <w:rFonts w:eastAsia="Times New Roman" w:cs="Calibri"/>
          <w:color w:val="212121"/>
        </w:rPr>
      </w:pPr>
      <w:r>
        <w:rPr>
          <w:rFonts w:eastAsia="Times New Roman" w:cs="Calibri"/>
        </w:rPr>
        <w:t>posiada Pani/Pan:</w:t>
      </w:r>
    </w:p>
    <w:p w14:paraId="7F1F9753" w14:textId="77777777" w:rsidR="009F0437" w:rsidRDefault="009F0437">
      <w:pPr>
        <w:numPr>
          <w:ilvl w:val="3"/>
          <w:numId w:val="4"/>
        </w:numPr>
        <w:shd w:val="clear" w:color="auto" w:fill="FFFFFF"/>
        <w:spacing w:after="0" w:line="240" w:lineRule="atLeast"/>
        <w:ind w:left="1418" w:hanging="284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212121"/>
        </w:rPr>
        <w:t xml:space="preserve">na podstawie art. 15 RODO prawo dostępu do danych osobowych Pani/Pana dotyczących. Jednakże, jeżeli wykonanie obowiązków, o których mowa w art. 15 ust. </w:t>
      </w:r>
      <w:r>
        <w:rPr>
          <w:rFonts w:eastAsia="Times New Roman" w:cs="Calibri"/>
          <w:color w:val="212121"/>
        </w:rPr>
        <w:br/>
        <w:t>1-3 RODO wymagałoby od Zamawiającego niewspółmiernie dużego wysiłku, Zamawiający może żądać od Pani/Pana wskazania dodatkowych informacji mających na celu sprecyzowanie żądania, np. podania nazwy lub daty postępowania o udzielenie zamówienia publicznego - dotyczy to również zakończonych postępowań o udzielenie zamówienia publicznego i danych osobowych zawartych w protokole i jego załącznikach;</w:t>
      </w:r>
    </w:p>
    <w:p w14:paraId="79FD438F" w14:textId="77777777" w:rsidR="009F0437" w:rsidRDefault="009F0437">
      <w:pPr>
        <w:numPr>
          <w:ilvl w:val="3"/>
          <w:numId w:val="4"/>
        </w:numPr>
        <w:shd w:val="clear" w:color="auto" w:fill="FFFFFF"/>
        <w:spacing w:after="0" w:line="240" w:lineRule="atLeast"/>
        <w:ind w:left="1418" w:hanging="284"/>
        <w:contextualSpacing/>
        <w:jc w:val="both"/>
        <w:rPr>
          <w:rFonts w:eastAsia="Times New Roman" w:cs="Calibri"/>
          <w:color w:val="212121"/>
        </w:rPr>
      </w:pPr>
      <w:r>
        <w:rPr>
          <w:rFonts w:eastAsia="Times New Roman" w:cs="Calibri"/>
        </w:rPr>
        <w:t xml:space="preserve">na podstawie art. 16 RODO prawo do sprostowania Pani/Pana danych osobowych </w:t>
      </w:r>
      <w:r>
        <w:rPr>
          <w:rFonts w:eastAsia="Times New Roman" w:cs="Calibri"/>
          <w:color w:val="212121"/>
        </w:rPr>
        <w:t>(skorzystanie z prawa do sprostowania nie może skutkować zmianą wyniku postępowania o udzielenie zamówienia publicznego, ani zmianą postanowień umowy w zakresie niezgodnym z obowiązującymi przepisami oraz nie może naruszać integralności protokołu oraz jego załączników)</w:t>
      </w:r>
      <w:r>
        <w:rPr>
          <w:rFonts w:eastAsia="Times New Roman" w:cs="Calibri"/>
        </w:rPr>
        <w:t>;</w:t>
      </w:r>
    </w:p>
    <w:p w14:paraId="0415C142" w14:textId="77777777" w:rsidR="009F0437" w:rsidRDefault="009F0437">
      <w:pPr>
        <w:numPr>
          <w:ilvl w:val="3"/>
          <w:numId w:val="4"/>
        </w:numPr>
        <w:shd w:val="clear" w:color="auto" w:fill="FFFFFF"/>
        <w:spacing w:after="0" w:line="240" w:lineRule="atLeast"/>
        <w:ind w:left="1418" w:hanging="284"/>
        <w:contextualSpacing/>
        <w:jc w:val="both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na podstawie art. 18 RODO prawo żądania od administratora ograniczenia przetwarzania danych osobowych z zastrzeżeniem przypadków, o których mowa w art. 18 ust. 2 RODO. Wystąpienie z żądaniem ograniczenia przetwarzania danych osobowych, nie o</w:t>
      </w:r>
      <w:r>
        <w:rPr>
          <w:rFonts w:eastAsia="Times New Roman" w:cs="Calibri"/>
          <w:color w:val="212121"/>
        </w:rPr>
        <w:t>granicza przetwarzania danych osobowych do czasu zakończenia postępowania o udzielenie zamówienia publicznego;</w:t>
      </w:r>
    </w:p>
    <w:p w14:paraId="51A3C1A4" w14:textId="77777777" w:rsidR="009F0437" w:rsidRDefault="009F0437">
      <w:pPr>
        <w:numPr>
          <w:ilvl w:val="3"/>
          <w:numId w:val="4"/>
        </w:numPr>
        <w:shd w:val="clear" w:color="auto" w:fill="FFFFFF"/>
        <w:spacing w:after="0" w:line="240" w:lineRule="atLeast"/>
        <w:ind w:left="1418" w:hanging="284"/>
        <w:contextualSpacing/>
        <w:jc w:val="both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lastRenderedPageBreak/>
        <w:t xml:space="preserve">na podstawie art. 17 ust. 1 i 2 RODO prawo do żądania usunięcia danych, </w:t>
      </w:r>
      <w:r>
        <w:rPr>
          <w:rFonts w:eastAsia="Times New Roman" w:cs="Calibri"/>
          <w:color w:val="212121"/>
        </w:rPr>
        <w:br/>
        <w:t>z zastrzeżeniem braku uprawnienia do skorzystania z tego prawa w przypadkach wskazanych w art. 17 ust. 3 lit. b, d lub e RODO;</w:t>
      </w:r>
    </w:p>
    <w:p w14:paraId="1248810E" w14:textId="77777777" w:rsidR="009F0437" w:rsidRDefault="009F0437">
      <w:pPr>
        <w:numPr>
          <w:ilvl w:val="3"/>
          <w:numId w:val="4"/>
        </w:numPr>
        <w:shd w:val="clear" w:color="auto" w:fill="FFFFFF"/>
        <w:spacing w:after="0" w:line="240" w:lineRule="atLeast"/>
        <w:ind w:left="1418" w:hanging="284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212121"/>
        </w:rPr>
        <w:t>prawo do wniesienia skargi do Prezesa Urzędu Ochrony Danych Osobowych, gdy uzna Pani/Pan, że przetwarzanie danych osobowych Pani/Pana dotyczących narusza przepisy RODO;</w:t>
      </w:r>
    </w:p>
    <w:p w14:paraId="028BACB6" w14:textId="77777777" w:rsidR="009F0437" w:rsidRDefault="009F0437">
      <w:pPr>
        <w:numPr>
          <w:ilvl w:val="3"/>
          <w:numId w:val="4"/>
        </w:numPr>
        <w:shd w:val="clear" w:color="auto" w:fill="FFFFFF"/>
        <w:spacing w:after="0" w:line="240" w:lineRule="atLeast"/>
        <w:ind w:left="1418" w:hanging="284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nie przysługuje Pani/Panu:</w:t>
      </w:r>
    </w:p>
    <w:p w14:paraId="436D858E" w14:textId="77777777" w:rsidR="009F0437" w:rsidRDefault="009F0437">
      <w:pPr>
        <w:numPr>
          <w:ilvl w:val="3"/>
          <w:numId w:val="2"/>
        </w:numPr>
        <w:spacing w:after="0" w:line="240" w:lineRule="atLeast"/>
        <w:ind w:left="1701" w:hanging="28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prawo do przenoszenia danych osobowych, o którym mowa w art. 20 RODO;</w:t>
      </w:r>
    </w:p>
    <w:p w14:paraId="5BA95E58" w14:textId="77777777" w:rsidR="009F0437" w:rsidRDefault="009F0437">
      <w:pPr>
        <w:numPr>
          <w:ilvl w:val="3"/>
          <w:numId w:val="2"/>
        </w:numPr>
        <w:spacing w:after="0" w:line="240" w:lineRule="atLeast"/>
        <w:ind w:left="1701" w:hanging="283"/>
        <w:contextualSpacing/>
        <w:jc w:val="both"/>
        <w:rPr>
          <w:rFonts w:cs="Times New Roman"/>
          <w:b/>
        </w:rPr>
      </w:pPr>
      <w:r>
        <w:rPr>
          <w:rFonts w:eastAsia="Times New Roman" w:cs="Calibri"/>
        </w:rPr>
        <w:t>na podstawie art. 21 RODO prawo sprzeciwu, wobec przetwarzania danych osobowych, gdyż podstawą prawną przetwarzania Pani/Pana danych osobowych jest art. 6 ust. 1 lit. b lub c RODO.</w:t>
      </w:r>
    </w:p>
    <w:p w14:paraId="0B954AEF" w14:textId="77777777" w:rsidR="009F0437" w:rsidRDefault="009F0437">
      <w:pPr>
        <w:spacing w:after="0" w:line="240" w:lineRule="auto"/>
        <w:contextualSpacing/>
        <w:jc w:val="both"/>
        <w:rPr>
          <w:rFonts w:cs="Times New Roman"/>
          <w:b/>
        </w:rPr>
      </w:pPr>
    </w:p>
    <w:p w14:paraId="79687B0D" w14:textId="77777777" w:rsidR="009F0437" w:rsidRDefault="009F0437">
      <w:pPr>
        <w:spacing w:after="0" w:line="240" w:lineRule="auto"/>
        <w:contextualSpacing/>
        <w:jc w:val="both"/>
        <w:rPr>
          <w:rFonts w:cs="Times New Roman"/>
          <w:b/>
        </w:rPr>
      </w:pPr>
    </w:p>
    <w:p w14:paraId="3845A5D2" w14:textId="77777777" w:rsidR="009F0437" w:rsidRDefault="009F0437">
      <w:pPr>
        <w:spacing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  <w:b/>
        </w:rPr>
        <w:t>Załączniki:</w:t>
      </w:r>
    </w:p>
    <w:p w14:paraId="62F74C1E" w14:textId="77777777" w:rsidR="009F0437" w:rsidRDefault="009F043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Załącznik nr 1 </w:t>
      </w:r>
      <w:r>
        <w:rPr>
          <w:rFonts w:eastAsia="Times New Roman"/>
        </w:rPr>
        <w:t>–</w:t>
      </w:r>
      <w:r>
        <w:rPr>
          <w:rFonts w:cs="Times New Roman"/>
        </w:rPr>
        <w:t xml:space="preserve"> Formularz ofertowy (FO)</w:t>
      </w:r>
    </w:p>
    <w:p w14:paraId="44300B24" w14:textId="77777777" w:rsidR="009F0437" w:rsidRDefault="009F043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Załącznik nr 2 </w:t>
      </w:r>
      <w:r>
        <w:rPr>
          <w:rFonts w:eastAsia="Times New Roman"/>
        </w:rPr>
        <w:t>–</w:t>
      </w:r>
      <w:r>
        <w:rPr>
          <w:rFonts w:cs="Times New Roman"/>
        </w:rPr>
        <w:t xml:space="preserve"> Opis przedmiotu zamówienia (OPZ)</w:t>
      </w:r>
    </w:p>
    <w:p w14:paraId="022841AB" w14:textId="77777777" w:rsidR="009F0437" w:rsidRDefault="009F043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Times New Roman"/>
        </w:rPr>
        <w:t xml:space="preserve">Załącznik nr 3 </w:t>
      </w:r>
      <w:r>
        <w:rPr>
          <w:rFonts w:eastAsia="Times New Roman"/>
        </w:rPr>
        <w:t>–</w:t>
      </w:r>
      <w:r>
        <w:rPr>
          <w:rFonts w:cs="Times New Roman"/>
        </w:rPr>
        <w:t xml:space="preserve"> Projektowane postanowienia umowy (PPU)</w:t>
      </w:r>
    </w:p>
    <w:p w14:paraId="5D6BEB93" w14:textId="77777777" w:rsidR="009F0437" w:rsidRDefault="009F0437">
      <w:pPr>
        <w:pStyle w:val="ListParagraph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cs="Times New Roman"/>
        </w:rPr>
      </w:pPr>
      <w:r>
        <w:rPr>
          <w:rFonts w:cs="Calibri"/>
        </w:rPr>
        <w:t>Załącznik nr 4 – Wzór protokołu odbioru</w:t>
      </w:r>
    </w:p>
    <w:p w14:paraId="103957ED" w14:textId="77777777" w:rsidR="009F0437" w:rsidRDefault="009F043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Załącznik nr 5 </w:t>
      </w:r>
      <w:r>
        <w:t>–</w:t>
      </w:r>
      <w:r>
        <w:rPr>
          <w:rFonts w:cs="Times New Roman"/>
        </w:rPr>
        <w:t xml:space="preserve"> Klauzula informacyjna RODO</w:t>
      </w:r>
    </w:p>
    <w:p w14:paraId="02EECA56" w14:textId="77777777" w:rsidR="009F0437" w:rsidRDefault="009F043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cs="Times New Roman"/>
        </w:rPr>
        <w:t>Załącznik nr 6 – Wzór umowy powierzenia przetwarzania danych osobowych</w:t>
      </w:r>
    </w:p>
    <w:sectPr w:rsidR="009F04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276" w:left="1418" w:header="425" w:footer="454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4CB9" w14:textId="77777777" w:rsidR="009F0437" w:rsidRDefault="009F0437">
      <w:pPr>
        <w:spacing w:after="0" w:line="240" w:lineRule="auto"/>
      </w:pPr>
      <w:r>
        <w:separator/>
      </w:r>
    </w:p>
  </w:endnote>
  <w:endnote w:type="continuationSeparator" w:id="0">
    <w:p w14:paraId="3BBCA175" w14:textId="77777777" w:rsidR="009F0437" w:rsidRDefault="009F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FFB9" w14:textId="77777777" w:rsidR="009F0437" w:rsidRDefault="009F0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A3A9" w14:textId="0489C38A" w:rsidR="009F0437" w:rsidRDefault="00736B97">
    <w:pPr>
      <w:pStyle w:val="Stopka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CD74CA5" wp14:editId="0CDFE611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F770BF" w14:textId="77777777" w:rsidR="009F0437" w:rsidRDefault="009F0437">
    <w:pPr>
      <w:pStyle w:val="Stopka"/>
      <w:jc w:val="right"/>
      <w:rPr>
        <w:sz w:val="18"/>
        <w:szCs w:val="18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12</w:t>
    </w:r>
    <w:r>
      <w:rPr>
        <w:b/>
        <w:bCs/>
        <w:sz w:val="20"/>
        <w:szCs w:val="20"/>
      </w:rPr>
      <w:fldChar w:fldCharType="end"/>
    </w:r>
  </w:p>
  <w:p w14:paraId="77AD2E05" w14:textId="77777777" w:rsidR="009F0437" w:rsidRDefault="009F0437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F872" w14:textId="45CCB8BB" w:rsidR="009F0437" w:rsidRDefault="00736B97">
    <w:pPr>
      <w:pStyle w:val="Stopka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0AA408D2" wp14:editId="43699D84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2871232" w14:textId="77777777" w:rsidR="009F0437" w:rsidRDefault="009F0437">
    <w:pPr>
      <w:pStyle w:val="Stopka"/>
      <w:jc w:val="right"/>
      <w:rPr>
        <w:sz w:val="18"/>
        <w:szCs w:val="18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12</w:t>
    </w:r>
    <w:r>
      <w:rPr>
        <w:b/>
        <w:bCs/>
        <w:sz w:val="20"/>
        <w:szCs w:val="20"/>
      </w:rPr>
      <w:fldChar w:fldCharType="end"/>
    </w:r>
  </w:p>
  <w:p w14:paraId="02D1C768" w14:textId="77777777" w:rsidR="009F0437" w:rsidRDefault="009F043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E558" w14:textId="77777777" w:rsidR="009F0437" w:rsidRDefault="009F0437">
      <w:pPr>
        <w:spacing w:after="0" w:line="240" w:lineRule="auto"/>
      </w:pPr>
      <w:r>
        <w:separator/>
      </w:r>
    </w:p>
  </w:footnote>
  <w:footnote w:type="continuationSeparator" w:id="0">
    <w:p w14:paraId="496B327F" w14:textId="77777777" w:rsidR="009F0437" w:rsidRDefault="009F0437">
      <w:pPr>
        <w:spacing w:after="0" w:line="240" w:lineRule="auto"/>
      </w:pPr>
      <w:r>
        <w:continuationSeparator/>
      </w:r>
    </w:p>
  </w:footnote>
  <w:footnote w:id="1">
    <w:p w14:paraId="51F32094" w14:textId="77777777" w:rsidR="009F0437" w:rsidRDefault="009F0437">
      <w:pPr>
        <w:pStyle w:val="Normalny1"/>
        <w:spacing w:before="0" w:after="0"/>
        <w:jc w:val="both"/>
        <w:rPr>
          <w:rFonts w:ascii="Calibri" w:hAnsi="Calibri"/>
          <w:sz w:val="14"/>
          <w:szCs w:val="14"/>
        </w:rPr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4"/>
          <w:szCs w:val="14"/>
        </w:rPr>
        <w:t xml:space="preserve"> </w:t>
      </w:r>
      <w:r>
        <w:rPr>
          <w:rFonts w:ascii="Calibri" w:hAnsi="Calibri"/>
          <w:sz w:val="14"/>
          <w:szCs w:val="14"/>
        </w:rPr>
        <w:t>Pkt 1. Bez uszczerbku dla zasad dotyczących pomocy państwa instytucja zarządzająca zapewnia udostępnienie Komisji i Europejskiemu Trybunałowi Obrachunkowemu wszystkich dokumentów potwierdzających dotyczących wydatku wspieranego z funduszy polityki spójności w ramach operacji, dla których całkowite wydatki kwalifikowalne wynoszą mniej niż 1 000 000 EUR; udostępnia je na żądanie przez okres trzech lat od dnia 31 grudnia następującego po złożeniu zestawienia wydatków, w którym ujęto dany wydatek dotyczący dan</w:t>
      </w:r>
      <w:r>
        <w:rPr>
          <w:rFonts w:ascii="Calibri" w:hAnsi="Calibri"/>
          <w:sz w:val="14"/>
          <w:szCs w:val="14"/>
        </w:rPr>
        <w:t>ej operacji.</w:t>
      </w:r>
    </w:p>
    <w:p w14:paraId="7735A1C2" w14:textId="77777777" w:rsidR="009F0437" w:rsidRDefault="009F0437">
      <w:pPr>
        <w:pStyle w:val="Normalny1"/>
        <w:spacing w:before="0" w:after="0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W przypadku operacji innych niż te, o których mowa w akapicie pierwszym, wszystkie dokumenty potwierdzające powinny być udostępnione przez okres dwóch lat od dnia 31 grudnia następującego po złożeniu zestawienia wydatków, w którym ujęto ostateczne wydatki dotyczące zakończonej operacji.</w:t>
      </w:r>
    </w:p>
    <w:p w14:paraId="5F8B8111" w14:textId="77777777" w:rsidR="009F0437" w:rsidRDefault="009F0437">
      <w:pPr>
        <w:pStyle w:val="Normalny1"/>
        <w:spacing w:before="0" w:after="0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Instytucja zarządzająca może podjąć decyzję o zastosowaniu do operacji, dla których całkowite wydatki kwalifikowalne wynoszą mniej niż 1 000 000 EUR, zasady, o której mowa w akapicie drugim.</w:t>
      </w:r>
    </w:p>
    <w:p w14:paraId="05E3511B" w14:textId="77777777" w:rsidR="009F0437" w:rsidRDefault="009F0437">
      <w:pPr>
        <w:pStyle w:val="Normalny1"/>
        <w:spacing w:before="0" w:after="0"/>
        <w:jc w:val="both"/>
      </w:pPr>
      <w:r>
        <w:rPr>
          <w:rFonts w:ascii="Calibri" w:hAnsi="Calibri"/>
          <w:sz w:val="14"/>
          <w:szCs w:val="14"/>
        </w:rPr>
        <w:t>Okres, o którym mowa w akapicie pierwszym, zostaje przerwany w przypadku wszczęcia postępowania prawnego albo na należycie uzasadniony wniosek Komisji.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9920" w14:textId="77777777" w:rsidR="009F0437" w:rsidRDefault="009F0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60E8" w14:textId="77777777" w:rsidR="009F0437" w:rsidRDefault="009F0437">
    <w:pPr>
      <w:pStyle w:val="Nagwek"/>
      <w:tabs>
        <w:tab w:val="left" w:pos="633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3691" w14:textId="77777777" w:rsidR="009F0437" w:rsidRDefault="009F0437">
    <w:pPr>
      <w:pStyle w:val="Nagwek"/>
      <w:tabs>
        <w:tab w:val="left" w:pos="633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72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  <w:rPr>
        <w:b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960" w:hanging="360"/>
      </w:pPr>
      <w:rPr>
        <w:b w:val="0"/>
      </w:rPr>
    </w:lvl>
    <w:lvl w:ilvl="6">
      <w:start w:val="1"/>
      <w:numFmt w:val="bullet"/>
      <w:lvlText w:val="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98" w:hanging="360"/>
      </w:pPr>
      <w:rPr>
        <w:rFonts w:ascii="Calibri" w:eastAsia="MS Mincho" w:hAnsi="Calibri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1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38" w:hanging="18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658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8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strike w:val="0"/>
        <w:dstrike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9"/>
      <w:numFmt w:val="bullet"/>
      <w:lvlText w:val=""/>
      <w:lvlJc w:val="left"/>
      <w:pPr>
        <w:tabs>
          <w:tab w:val="num" w:pos="502"/>
        </w:tabs>
        <w:ind w:left="482" w:hanging="34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MS Mincho" w:hAnsi="Calibri" w:cs="Calibri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3"/>
      <w:numFmt w:val="ordinal"/>
      <w:lvlText w:val="%1"/>
      <w:lvlJc w:val="left"/>
      <w:pPr>
        <w:tabs>
          <w:tab w:val="num" w:pos="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0098099">
    <w:abstractNumId w:val="0"/>
  </w:num>
  <w:num w:numId="2" w16cid:durableId="1999334999">
    <w:abstractNumId w:val="1"/>
  </w:num>
  <w:num w:numId="3" w16cid:durableId="1282610232">
    <w:abstractNumId w:val="2"/>
  </w:num>
  <w:num w:numId="4" w16cid:durableId="1676758999">
    <w:abstractNumId w:val="3"/>
  </w:num>
  <w:num w:numId="5" w16cid:durableId="936254170">
    <w:abstractNumId w:val="4"/>
  </w:num>
  <w:num w:numId="6" w16cid:durableId="1187715976">
    <w:abstractNumId w:val="5"/>
  </w:num>
  <w:num w:numId="7" w16cid:durableId="1837761323">
    <w:abstractNumId w:val="6"/>
  </w:num>
  <w:num w:numId="8" w16cid:durableId="723792194">
    <w:abstractNumId w:val="7"/>
  </w:num>
  <w:num w:numId="9" w16cid:durableId="1722174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94"/>
    <w:rsid w:val="00736B97"/>
    <w:rsid w:val="009F0437"/>
    <w:rsid w:val="00C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4F90DF"/>
  <w15:chartTrackingRefBased/>
  <w15:docId w15:val="{9EC1D467-9893-42DA-AEEC-47551E3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MS Mincho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TekstdymkaZnak">
    <w:name w:val="Tekst dymka Znak"/>
    <w:basedOn w:val="DefaultParagraphFont"/>
    <w:rPr>
      <w:rFonts w:ascii="Tahoma" w:hAnsi="Tahoma" w:cs="Tahoma"/>
      <w:sz w:val="16"/>
      <w:szCs w:val="16"/>
    </w:rPr>
  </w:style>
  <w:style w:type="character" w:styleId="Hipercze">
    <w:name w:val="Hyperlink"/>
    <w:basedOn w:val="DefaultParagraphFont"/>
    <w:rPr>
      <w:color w:val="0000FF"/>
      <w:u w:val="single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TekstkomentarzaZnak">
    <w:name w:val="Tekst komentarza Znak"/>
    <w:basedOn w:val="DefaultParagraphFont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Pogrubienie">
    <w:name w:val="Strong"/>
    <w:basedOn w:val="DefaultParagraphFont"/>
    <w:qFormat/>
    <w:rPr>
      <w:b/>
      <w:bCs/>
    </w:rPr>
  </w:style>
  <w:style w:type="character" w:customStyle="1" w:styleId="TekstprzypisukocowegoZnak">
    <w:name w:val="Tekst przypisu końcowego Znak"/>
    <w:basedOn w:val="DefaultParagraphFont"/>
    <w:rPr>
      <w:sz w:val="20"/>
      <w:szCs w:val="20"/>
    </w:rPr>
  </w:style>
  <w:style w:type="character" w:customStyle="1" w:styleId="EndnoteCharacters">
    <w:name w:val="Endnote Characters"/>
    <w:basedOn w:val="DefaultParagraphFont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efaultParagraphFont"/>
    <w:rPr>
      <w:sz w:val="20"/>
      <w:szCs w:val="20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ntStyle34">
    <w:name w:val="Font Style34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efaultParagraphFont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efaultParagraphFont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drzewo5">
    <w:name w:val="cpv_drzewo_5"/>
    <w:basedOn w:val="DefaultParagraphFont"/>
  </w:style>
  <w:style w:type="character" w:customStyle="1" w:styleId="AkapitzlistZnak">
    <w:name w:val="Akapit z listą Znak"/>
  </w:style>
  <w:style w:type="character" w:customStyle="1" w:styleId="Teksttreci12">
    <w:name w:val="Tekst treści (12)"/>
    <w:basedOn w:val="DefaultParagraphFont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l-PL" w:eastAsia="pl-PL" w:bidi="pl-PL"/>
    </w:rPr>
  </w:style>
  <w:style w:type="character" w:customStyle="1" w:styleId="Nagwek2Znak">
    <w:name w:val="Nagłówek 2 Znak"/>
    <w:basedOn w:val="DefaultParagraphFont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e24kjd">
    <w:name w:val="e24kjd"/>
    <w:basedOn w:val="DefaultParagraphFont"/>
  </w:style>
  <w:style w:type="character" w:customStyle="1" w:styleId="small-body-copy">
    <w:name w:val="small-body-copy"/>
    <w:basedOn w:val="DefaultParagraphFont"/>
  </w:style>
  <w:style w:type="character" w:customStyle="1" w:styleId="markedcontent">
    <w:name w:val="markedcontent"/>
    <w:basedOn w:val="DefaultParagraphFont"/>
  </w:style>
  <w:style w:type="character" w:styleId="UyteHipercze">
    <w:name w:val="FollowedHyperlink"/>
    <w:basedOn w:val="DefaultParagraphFont"/>
    <w:rPr>
      <w:color w:val="800080"/>
      <w:u w:val="single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MS Mincho" w:hAnsi="Calibri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Calibri" w:hAnsi="Calibri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Calibri" w:hAnsi="Calibri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Calibri" w:hAnsi="Calibri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Calibri" w:hAnsi="Calibri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b/>
    </w:rPr>
  </w:style>
  <w:style w:type="character" w:customStyle="1" w:styleId="ListLabel38">
    <w:name w:val="ListLabel 38"/>
    <w:rPr>
      <w:b w:val="0"/>
      <w:strike w:val="0"/>
      <w:dstrike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b w:val="0"/>
      <w:bCs w:val="0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Calibri" w:hAnsi="Calibri"/>
      <w:b w:val="0"/>
      <w:sz w:val="22"/>
      <w:szCs w:val="22"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b w:val="0"/>
    </w:rPr>
  </w:style>
  <w:style w:type="character" w:customStyle="1" w:styleId="ListLabel49">
    <w:name w:val="ListLabel 49"/>
    <w:rPr>
      <w:rFonts w:ascii="Calibri" w:hAnsi="Calibri"/>
    </w:rPr>
  </w:style>
  <w:style w:type="character" w:customStyle="1" w:styleId="ListLabel50">
    <w:name w:val="ListLabel 50"/>
    <w:rPr>
      <w:rFonts w:ascii="Calibri" w:hAnsi="Calibri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eastAsia="Times New Roman" w:hAnsi="Calibri" w:cs="Times New Roman"/>
    </w:rPr>
  </w:style>
  <w:style w:type="character" w:customStyle="1" w:styleId="ListLabel56">
    <w:name w:val="ListLabel 56"/>
    <w:rPr>
      <w:rFonts w:ascii="Calibri" w:hAnsi="Calibri"/>
    </w:rPr>
  </w:style>
  <w:style w:type="character" w:customStyle="1" w:styleId="ListLabel57">
    <w:name w:val="ListLabel 57"/>
    <w:rPr>
      <w:rFonts w:ascii="Calibri" w:hAnsi="Calibri" w:cs="Times New Roman"/>
    </w:rPr>
  </w:style>
  <w:style w:type="character" w:customStyle="1" w:styleId="ListLabel58">
    <w:name w:val="ListLabel 58"/>
    <w:rPr>
      <w:rFonts w:ascii="Calibri" w:hAnsi="Calibri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  <w:rPr>
      <w:rFonts w:ascii="Calibri" w:hAnsi="Calibri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Calibri" w:hAnsi="Calibri" w:cs="Calibri"/>
      <w:b w:val="0"/>
      <w:sz w:val="22"/>
      <w:szCs w:val="22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b/>
    </w:rPr>
  </w:style>
  <w:style w:type="character" w:customStyle="1" w:styleId="ListLabel74">
    <w:name w:val="ListLabel 74"/>
    <w:rPr>
      <w:b w:val="0"/>
    </w:rPr>
  </w:style>
  <w:style w:type="character" w:customStyle="1" w:styleId="ListLabel75">
    <w:name w:val="ListLabel 75"/>
    <w:rPr>
      <w:b w:val="0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Wingdings"/>
      <w:color w:val="auto"/>
      <w:sz w:val="16"/>
    </w:rPr>
  </w:style>
  <w:style w:type="character" w:customStyle="1" w:styleId="ListLabel83">
    <w:name w:val="ListLabel 83"/>
    <w:rPr>
      <w:rFonts w:ascii="Calibri" w:hAnsi="Calibri" w:cs="Calibri"/>
    </w:rPr>
  </w:style>
  <w:style w:type="character" w:customStyle="1" w:styleId="ListLabel84">
    <w:name w:val="ListLabel 84"/>
    <w:rPr>
      <w:rFonts w:ascii="Calibri" w:eastAsia="MS Mincho" w:hAnsi="Calibri" w:cs="Calibri"/>
      <w:b w:val="0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b w:val="0"/>
      <w:color w:val="000000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b w:val="0"/>
    </w:rPr>
  </w:style>
  <w:style w:type="character" w:customStyle="1" w:styleId="ListLabel96">
    <w:name w:val="ListLabel 96"/>
  </w:style>
  <w:style w:type="character" w:customStyle="1" w:styleId="ListLabel97">
    <w:name w:val="ListLabel 97"/>
    <w:rPr>
      <w:b w:val="0"/>
    </w:rPr>
  </w:style>
  <w:style w:type="character" w:customStyle="1" w:styleId="ListLabel98">
    <w:name w:val="ListLabel 98"/>
    <w:rPr>
      <w:rFonts w:ascii="Calibri" w:hAnsi="Calibri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ascii="Calibri" w:eastAsia="Times New Roman" w:hAnsi="Calibri" w:cs="Times New Roman"/>
    </w:rPr>
  </w:style>
  <w:style w:type="character" w:customStyle="1" w:styleId="ListLabel111">
    <w:name w:val="ListLabel 111"/>
  </w:style>
  <w:style w:type="character" w:customStyle="1" w:styleId="ListLabel112">
    <w:name w:val="ListLabel 112"/>
    <w:rPr>
      <w:rFonts w:ascii="Calibri" w:hAnsi="Calibri" w:cs="Times New Roman"/>
    </w:rPr>
  </w:style>
  <w:style w:type="character" w:customStyle="1" w:styleId="ListLabel113">
    <w:name w:val="ListLabel 113"/>
    <w:rPr>
      <w:rFonts w:ascii="Calibri" w:hAnsi="Calibri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</w:style>
  <w:style w:type="character" w:customStyle="1" w:styleId="ListLabel116">
    <w:name w:val="ListLabel 116"/>
    <w:rPr>
      <w:rFonts w:ascii="Calibri" w:hAnsi="Calibri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</w:style>
  <w:style w:type="character" w:customStyle="1" w:styleId="ListLabel119">
    <w:name w:val="ListLabel 119"/>
    <w:rPr>
      <w:b/>
    </w:rPr>
  </w:style>
  <w:style w:type="character" w:customStyle="1" w:styleId="ListLabel120">
    <w:name w:val="ListLabel 120"/>
    <w:rPr>
      <w:b w:val="0"/>
    </w:rPr>
  </w:style>
  <w:style w:type="character" w:customStyle="1" w:styleId="ListLabel121">
    <w:name w:val="ListLabel 121"/>
    <w:rPr>
      <w:b w:val="0"/>
    </w:rPr>
  </w:style>
  <w:style w:type="character" w:customStyle="1" w:styleId="ListLabel122">
    <w:name w:val="ListLabel 122"/>
    <w:rPr>
      <w:b w:val="0"/>
    </w:rPr>
  </w:style>
  <w:style w:type="character" w:customStyle="1" w:styleId="ListLabel123">
    <w:name w:val="ListLabel 123"/>
    <w:rPr>
      <w:b w:val="0"/>
    </w:rPr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b/>
    </w:rPr>
  </w:style>
  <w:style w:type="character" w:customStyle="1" w:styleId="ListLabel129">
    <w:name w:val="ListLabel 129"/>
    <w:rPr>
      <w:b w:val="0"/>
    </w:rPr>
  </w:style>
  <w:style w:type="character" w:customStyle="1" w:styleId="ListLabel130">
    <w:name w:val="ListLabel 130"/>
    <w:rPr>
      <w:b w:val="0"/>
    </w:rPr>
  </w:style>
  <w:style w:type="character" w:customStyle="1" w:styleId="ListLabel131">
    <w:name w:val="ListLabel 131"/>
    <w:rPr>
      <w:b w:val="0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b/>
    </w:rPr>
  </w:style>
  <w:style w:type="character" w:customStyle="1" w:styleId="ListLabel138">
    <w:name w:val="ListLabel 138"/>
    <w:rPr>
      <w:b w:val="0"/>
    </w:rPr>
  </w:style>
  <w:style w:type="character" w:customStyle="1" w:styleId="ListLabel139">
    <w:name w:val="ListLabel 139"/>
    <w:rPr>
      <w:b w:val="0"/>
    </w:rPr>
  </w:style>
  <w:style w:type="character" w:customStyle="1" w:styleId="ListLabel140">
    <w:name w:val="ListLabel 140"/>
  </w:style>
  <w:style w:type="character" w:customStyle="1" w:styleId="ListLabel141">
    <w:name w:val="ListLabel 141"/>
    <w:rPr>
      <w:rFonts w:ascii="Calibri" w:hAnsi="Calibri"/>
    </w:rPr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  <w:rPr>
      <w:b/>
    </w:rPr>
  </w:style>
  <w:style w:type="character" w:customStyle="1" w:styleId="ListLabel156">
    <w:name w:val="ListLabel 156"/>
    <w:rPr>
      <w:b w:val="0"/>
    </w:rPr>
  </w:style>
  <w:style w:type="character" w:customStyle="1" w:styleId="ListLabel157">
    <w:name w:val="ListLabel 157"/>
    <w:rPr>
      <w:b w:val="0"/>
    </w:rPr>
  </w:style>
  <w:style w:type="character" w:customStyle="1" w:styleId="ListLabel158">
    <w:name w:val="ListLabel 158"/>
    <w:rPr>
      <w:b w:val="0"/>
    </w:rPr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  <w:rPr>
      <w:b/>
    </w:rPr>
  </w:style>
  <w:style w:type="character" w:customStyle="1" w:styleId="ListLabel165">
    <w:name w:val="ListLabel 165"/>
    <w:rPr>
      <w:rFonts w:ascii="Calibri" w:hAnsi="Calibri"/>
      <w:b w:val="0"/>
    </w:rPr>
  </w:style>
  <w:style w:type="character" w:customStyle="1" w:styleId="ListLabel166">
    <w:name w:val="ListLabel 166"/>
    <w:rPr>
      <w:b w:val="0"/>
    </w:rPr>
  </w:style>
  <w:style w:type="character" w:customStyle="1" w:styleId="ListLabel167">
    <w:name w:val="ListLabel 167"/>
    <w:rPr>
      <w:b w:val="0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b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b w:val="0"/>
    </w:rPr>
  </w:style>
  <w:style w:type="character" w:customStyle="1" w:styleId="ListLabel176">
    <w:name w:val="ListLabel 176"/>
    <w:rPr>
      <w:b w:val="0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  <w:rPr>
      <w:b/>
    </w:rPr>
  </w:style>
  <w:style w:type="character" w:customStyle="1" w:styleId="ListLabel183">
    <w:name w:val="ListLabel 183"/>
    <w:rPr>
      <w:b w:val="0"/>
    </w:rPr>
  </w:style>
  <w:style w:type="character" w:customStyle="1" w:styleId="ListLabel184">
    <w:name w:val="ListLabel 184"/>
    <w:rPr>
      <w:b w:val="0"/>
    </w:rPr>
  </w:style>
  <w:style w:type="character" w:customStyle="1" w:styleId="ListLabel185">
    <w:name w:val="ListLabel 185"/>
    <w:rPr>
      <w:b w:val="0"/>
    </w:rPr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  <w:rPr>
      <w:rFonts w:ascii="Calibri" w:hAnsi="Calibri"/>
    </w:rPr>
  </w:style>
  <w:style w:type="character" w:customStyle="1" w:styleId="ListLabel192">
    <w:name w:val="ListLabel 192"/>
    <w:rPr>
      <w:rFonts w:cs="Courier New"/>
    </w:rPr>
  </w:style>
  <w:style w:type="character" w:customStyle="1" w:styleId="ListLabel193">
    <w:name w:val="ListLabel 193"/>
  </w:style>
  <w:style w:type="character" w:customStyle="1" w:styleId="ListLabel194">
    <w:name w:val="ListLabel 194"/>
    <w:rPr>
      <w:rFonts w:ascii="Calibri" w:hAnsi="Calibri"/>
    </w:rPr>
  </w:style>
  <w:style w:type="character" w:customStyle="1" w:styleId="ListLabel195">
    <w:name w:val="ListLabel 195"/>
    <w:rPr>
      <w:rFonts w:cs="Courier New"/>
    </w:rPr>
  </w:style>
  <w:style w:type="character" w:customStyle="1" w:styleId="ListLabel196">
    <w:name w:val="ListLabel 196"/>
  </w:style>
  <w:style w:type="character" w:customStyle="1" w:styleId="ListLabel197">
    <w:name w:val="ListLabel 197"/>
    <w:rPr>
      <w:rFonts w:ascii="Calibri" w:hAnsi="Calibri"/>
    </w:rPr>
  </w:style>
  <w:style w:type="character" w:customStyle="1" w:styleId="ListLabel198">
    <w:name w:val="ListLabel 198"/>
    <w:rPr>
      <w:rFonts w:cs="Courier New"/>
    </w:rPr>
  </w:style>
  <w:style w:type="character" w:customStyle="1" w:styleId="ListLabel199">
    <w:name w:val="ListLabel 199"/>
  </w:style>
  <w:style w:type="character" w:customStyle="1" w:styleId="ListLabel200">
    <w:name w:val="ListLabel 200"/>
    <w:rPr>
      <w:b w:val="0"/>
    </w:rPr>
  </w:style>
  <w:style w:type="character" w:customStyle="1" w:styleId="ListLabel201">
    <w:name w:val="ListLabel 201"/>
  </w:style>
  <w:style w:type="character" w:customStyle="1" w:styleId="ListLabel202">
    <w:name w:val="ListLabel 202"/>
    <w:rPr>
      <w:rFonts w:ascii="Calibri" w:hAnsi="Calibri"/>
    </w:rPr>
  </w:style>
  <w:style w:type="character" w:customStyle="1" w:styleId="ListLabel203">
    <w:name w:val="ListLabel 203"/>
    <w:rPr>
      <w:rFonts w:ascii="Calibri" w:hAnsi="Calibri"/>
    </w:rPr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  <w:rPr>
      <w:b w:val="0"/>
      <w:sz w:val="22"/>
      <w:szCs w:val="22"/>
    </w:rPr>
  </w:style>
  <w:style w:type="character" w:customStyle="1" w:styleId="ListLabel210">
    <w:name w:val="ListLabel 210"/>
    <w:rPr>
      <w:b w:val="0"/>
    </w:rPr>
  </w:style>
  <w:style w:type="character" w:customStyle="1" w:styleId="ListLabel211">
    <w:name w:val="ListLabel 211"/>
  </w:style>
  <w:style w:type="character" w:customStyle="1" w:styleId="ListLabel212">
    <w:name w:val="ListLabel 212"/>
    <w:rPr>
      <w:rFonts w:ascii="Calibri" w:hAnsi="Calibri"/>
    </w:rPr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  <w:rPr>
      <w:b w:val="0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  <w:rPr>
      <w:b w:val="0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  <w:rPr>
      <w:rFonts w:ascii="Calibri" w:hAnsi="Calibri"/>
    </w:rPr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  <w:rPr>
      <w:b w:val="0"/>
    </w:rPr>
  </w:style>
  <w:style w:type="character" w:customStyle="1" w:styleId="ListLabel247">
    <w:name w:val="ListLabel 247"/>
    <w:rPr>
      <w:b w:val="0"/>
      <w:i w:val="0"/>
    </w:rPr>
  </w:style>
  <w:style w:type="character" w:customStyle="1" w:styleId="ListLabel248">
    <w:name w:val="ListLabel 248"/>
    <w:rPr>
      <w:rFonts w:ascii="Calibri" w:hAnsi="Calibri"/>
    </w:rPr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  <w:rPr>
      <w:rFonts w:ascii="Calibri" w:eastAsia="MS Mincho" w:hAnsi="Calibri" w:cs="Times New Roman"/>
      <w:b w:val="0"/>
    </w:rPr>
  </w:style>
  <w:style w:type="character" w:customStyle="1" w:styleId="ListLabel255">
    <w:name w:val="ListLabel 255"/>
    <w:rPr>
      <w:b w:val="0"/>
    </w:rPr>
  </w:style>
  <w:style w:type="character" w:customStyle="1" w:styleId="ListLabel256">
    <w:name w:val="ListLabel 256"/>
    <w:rPr>
      <w:rFonts w:ascii="Calibri" w:hAnsi="Calibri"/>
    </w:rPr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</w:style>
  <w:style w:type="character" w:customStyle="1" w:styleId="ListLabel275">
    <w:name w:val="ListLabel 275"/>
    <w:rPr>
      <w:rFonts w:ascii="Calibri" w:hAnsi="Calibri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</w:style>
  <w:style w:type="character" w:customStyle="1" w:styleId="ListLabel278">
    <w:name w:val="ListLabel 278"/>
    <w:rPr>
      <w:rFonts w:ascii="Calibri" w:hAnsi="Calibri"/>
    </w:rPr>
  </w:style>
  <w:style w:type="character" w:customStyle="1" w:styleId="ListLabel279">
    <w:name w:val="ListLabel 279"/>
    <w:rPr>
      <w:rFonts w:cs="Courier New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b/>
    </w:rPr>
  </w:style>
  <w:style w:type="character" w:customStyle="1" w:styleId="ListLabel300">
    <w:name w:val="ListLabel 300"/>
  </w:style>
  <w:style w:type="character" w:customStyle="1" w:styleId="ListLabel301">
    <w:name w:val="ListLabel 301"/>
    <w:rPr>
      <w:b w:val="0"/>
      <w:strike w:val="0"/>
      <w:dstrike w:val="0"/>
    </w:rPr>
  </w:style>
  <w:style w:type="character" w:customStyle="1" w:styleId="ListLabel302">
    <w:name w:val="ListLabel 302"/>
    <w:rPr>
      <w:b w:val="0"/>
      <w:strike w:val="0"/>
      <w:dstrike w:val="0"/>
    </w:rPr>
  </w:style>
  <w:style w:type="character" w:customStyle="1" w:styleId="ListLabel303">
    <w:name w:val="ListLabel 303"/>
    <w:rPr>
      <w:rFonts w:ascii="Calibri" w:hAnsi="Calibri"/>
    </w:rPr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  <w:rPr>
      <w:rFonts w:ascii="Calibri" w:hAnsi="Calibri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</w:style>
  <w:style w:type="character" w:customStyle="1" w:styleId="ListLabel320">
    <w:name w:val="ListLabel 320"/>
    <w:rPr>
      <w:rFonts w:ascii="Calibri" w:hAnsi="Calibri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</w:style>
  <w:style w:type="character" w:customStyle="1" w:styleId="ListLabel323">
    <w:name w:val="ListLabel 323"/>
    <w:rPr>
      <w:rFonts w:ascii="Calibri" w:hAnsi="Calibri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  <w:rPr>
      <w:rFonts w:ascii="Calibri" w:hAnsi="Calibri"/>
    </w:rPr>
  </w:style>
  <w:style w:type="character" w:customStyle="1" w:styleId="ListLabel336">
    <w:name w:val="ListLabel 336"/>
    <w:rPr>
      <w:rFonts w:cs="Courier New"/>
    </w:rPr>
  </w:style>
  <w:style w:type="character" w:customStyle="1" w:styleId="ListLabel337">
    <w:name w:val="ListLabel 337"/>
  </w:style>
  <w:style w:type="character" w:customStyle="1" w:styleId="ListLabel338">
    <w:name w:val="ListLabel 338"/>
    <w:rPr>
      <w:rFonts w:ascii="Calibri" w:hAnsi="Calibri"/>
    </w:rPr>
  </w:style>
  <w:style w:type="character" w:customStyle="1" w:styleId="ListLabel339">
    <w:name w:val="ListLabel 339"/>
    <w:rPr>
      <w:rFonts w:cs="Courier New"/>
    </w:rPr>
  </w:style>
  <w:style w:type="character" w:customStyle="1" w:styleId="ListLabel340">
    <w:name w:val="ListLabel 340"/>
  </w:style>
  <w:style w:type="character" w:customStyle="1" w:styleId="ListLabel341">
    <w:name w:val="ListLabel 341"/>
    <w:rPr>
      <w:rFonts w:ascii="Calibri" w:hAnsi="Calibri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</w:style>
  <w:style w:type="character" w:customStyle="1" w:styleId="ListLabel344">
    <w:name w:val="ListLabel 344"/>
    <w:rPr>
      <w:rFonts w:ascii="Calibri" w:eastAsia="Times New Roman" w:hAnsi="Calibri" w:cs="Times New Roman"/>
      <w:bCs/>
      <w:u w:val="single"/>
    </w:rPr>
  </w:style>
  <w:style w:type="character" w:customStyle="1" w:styleId="ListLabel345">
    <w:name w:val="ListLabel 345"/>
    <w:rPr>
      <w:rFonts w:ascii="Calibri" w:hAnsi="Calibri" w:cs="Calibri"/>
    </w:rPr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Calibri"/>
      <w:bCs/>
      <w:lang w:eastAsia="en-US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Calibri"/>
      <w:color w:val="0000FF"/>
      <w:u w:val="single"/>
    </w:rPr>
  </w:style>
  <w:style w:type="character" w:customStyle="1" w:styleId="ListLabel350">
    <w:name w:val="ListLabel 350"/>
    <w:rPr>
      <w:rFonts w:eastAsia="Times New Roman" w:cs="Calibri"/>
      <w:i/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Style19">
    <w:name w:val="Style19"/>
    <w:basedOn w:val="Normalny"/>
    <w:pPr>
      <w:widowControl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">
    <w:name w:val="Revision"/>
    <w:pPr>
      <w:suppressAutoHyphens/>
    </w:pPr>
    <w:rPr>
      <w:rFonts w:ascii="Calibri" w:eastAsia="MS Mincho" w:hAnsi="Calibri" w:cs="Arial"/>
      <w:sz w:val="22"/>
      <w:szCs w:val="22"/>
    </w:rPr>
  </w:style>
  <w:style w:type="paragraph" w:customStyle="1" w:styleId="Akapitzlist2">
    <w:name w:val="Akapit z listą2"/>
    <w:basedOn w:val="Normalny"/>
    <w:rPr>
      <w:rFonts w:eastAsia="Lucida Sans Unicode" w:cs="font325"/>
      <w:kern w:val="2"/>
      <w:lang w:eastAsia="ar-SA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Normalny1">
    <w:name w:val="Normalny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mailto:zamowienia@fnp.org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np.org.pl/" TargetMode="External"/><Relationship Id="rId12" Type="http://schemas.openxmlformats.org/officeDocument/2006/relationships/hyperlink" Target="mailto:czajka@fnp.org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@fnp.org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fnp.org.pl/component/fnp_pages/page/zamowienia-publiczne" TargetMode="External"/><Relationship Id="rId14" Type="http://schemas.openxmlformats.org/officeDocument/2006/relationships/hyperlink" Target="mailto:iodo@fnp.org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5362</Words>
  <Characters>32173</Characters>
  <Application>Microsoft Office Word</Application>
  <DocSecurity>0</DocSecurity>
  <Lines>268</Lines>
  <Paragraphs>74</Paragraphs>
  <ScaleCrop>false</ScaleCrop>
  <Company/>
  <LinksUpToDate>false</LinksUpToDate>
  <CharactersWithSpaces>37461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Agnieszka Kossakowska</cp:lastModifiedBy>
  <cp:revision>2</cp:revision>
  <cp:lastPrinted>2021-08-22T14:20:00Z</cp:lastPrinted>
  <dcterms:created xsi:type="dcterms:W3CDTF">2026-06-15T18:47:00Z</dcterms:created>
  <dcterms:modified xsi:type="dcterms:W3CDTF">2026-06-15T18:47:00Z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ontentTypeId">
    <vt:lpwstr>0x010100F6A187EB87A48D4D8477F34009871EB1</vt:lpwstr>
  </property>
</Properties>
</file>